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06E15" w14:textId="77777777" w:rsidR="003854AC" w:rsidRDefault="003854AC">
      <w:pPr>
        <w:spacing w:line="240" w:lineRule="auto"/>
        <w:rPr>
          <w:sz w:val="2"/>
        </w:rPr>
        <w:sectPr w:rsidR="003854A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p>
    <w:p w14:paraId="45E183E6" w14:textId="77777777" w:rsidR="00F9712A" w:rsidRDefault="00F9712A" w:rsidP="00F9712A">
      <w:pPr>
        <w:rPr>
          <w:rFonts w:asciiTheme="majorBidi" w:hAnsiTheme="majorBidi" w:cstheme="majorBidi"/>
          <w:sz w:val="16"/>
          <w:szCs w:val="18"/>
        </w:rPr>
      </w:pPr>
      <w:r>
        <w:rPr>
          <w:rFonts w:asciiTheme="majorBidi" w:hAnsiTheme="majorBidi" w:cstheme="majorBidi"/>
          <w:color w:val="FF0000"/>
        </w:rPr>
        <w:t>[Superseded by ST/AI/2020/3 issued on 10 July 2020]</w:t>
      </w:r>
    </w:p>
    <w:p w14:paraId="654278B8" w14:textId="77777777" w:rsidR="00F9712A" w:rsidRDefault="00F971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0" w:name="_GoBack"/>
      <w:bookmarkEnd w:id="0"/>
    </w:p>
    <w:p w14:paraId="2A1C050E" w14:textId="3FCE37E1" w:rsidR="003854AC" w:rsidRDefault="003854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Administrative instruction </w:t>
      </w:r>
    </w:p>
    <w:p w14:paraId="0FFAB372" w14:textId="77777777" w:rsidR="003854AC" w:rsidRDefault="003854AC">
      <w:pPr>
        <w:pStyle w:val="SingleTxt"/>
        <w:spacing w:after="0" w:line="120" w:lineRule="exact"/>
        <w:rPr>
          <w:sz w:val="10"/>
        </w:rPr>
      </w:pPr>
    </w:p>
    <w:p w14:paraId="1FC2C939" w14:textId="77777777" w:rsidR="003854AC" w:rsidRDefault="003854AC">
      <w:pPr>
        <w:pStyle w:val="SingleTxt"/>
        <w:spacing w:after="0" w:line="120" w:lineRule="exact"/>
        <w:rPr>
          <w:sz w:val="10"/>
        </w:rPr>
      </w:pPr>
    </w:p>
    <w:p w14:paraId="0EAE5B03" w14:textId="77777777" w:rsidR="003854AC" w:rsidRDefault="003854AC">
      <w:pPr>
        <w:pStyle w:val="H1"/>
        <w:ind w:right="1260"/>
      </w:pPr>
      <w:r>
        <w:tab/>
      </w:r>
      <w:r>
        <w:tab/>
        <w:t xml:space="preserve">Competitive examinations for recruitment or placement in posts requiring specific language skills in the Professional category </w:t>
      </w:r>
    </w:p>
    <w:p w14:paraId="51E64A9F" w14:textId="77777777" w:rsidR="003854AC" w:rsidRDefault="003854AC">
      <w:pPr>
        <w:pStyle w:val="SingleTxt"/>
        <w:spacing w:after="0" w:line="120" w:lineRule="exact"/>
        <w:rPr>
          <w:sz w:val="10"/>
        </w:rPr>
      </w:pPr>
    </w:p>
    <w:p w14:paraId="0AC98903" w14:textId="77777777" w:rsidR="003854AC" w:rsidRDefault="003854AC">
      <w:pPr>
        <w:pStyle w:val="SingleTxt"/>
        <w:spacing w:after="0" w:line="120" w:lineRule="exact"/>
        <w:rPr>
          <w:sz w:val="10"/>
        </w:rPr>
      </w:pPr>
    </w:p>
    <w:p w14:paraId="7099E3FF" w14:textId="77777777" w:rsidR="003854AC" w:rsidRDefault="003854AC">
      <w:pPr>
        <w:pStyle w:val="SingleTxt"/>
      </w:pPr>
      <w:r>
        <w:t>1.</w:t>
      </w:r>
      <w:r>
        <w:tab/>
        <w:t>Pursuant</w:t>
      </w:r>
      <w:bookmarkStart w:id="1" w:name="TmpSave"/>
      <w:bookmarkEnd w:id="1"/>
      <w:r>
        <w:t xml:space="preserve"> to section 4.2 of Secretary-General’s bulletin </w:t>
      </w:r>
      <w:r w:rsidRPr="00A41995">
        <w:t>ST/SGB/2009/4</w:t>
      </w:r>
      <w:r>
        <w:t xml:space="preserve">, the Under-Secretary-General for Management amends as follows administrative instruction </w:t>
      </w:r>
      <w:r w:rsidRPr="00A41995">
        <w:t>ST/AI/1998/7</w:t>
      </w:r>
      <w:r>
        <w:t xml:space="preserve"> entitled “Competitive examinations for recruitment and placement in posts requiring specific language skills in the Professional category”.</w:t>
      </w:r>
    </w:p>
    <w:p w14:paraId="5ACC9869" w14:textId="77777777" w:rsidR="003854AC" w:rsidRDefault="003854AC">
      <w:pPr>
        <w:pStyle w:val="SingleTxt"/>
      </w:pPr>
      <w:r>
        <w:t>2.</w:t>
      </w:r>
      <w:r>
        <w:tab/>
        <w:t xml:space="preserve">Section 1 is replaced by the text set out below: </w:t>
      </w:r>
    </w:p>
    <w:p w14:paraId="75FFC7D6" w14:textId="77777777" w:rsidR="003854AC" w:rsidRDefault="003854AC">
      <w:pPr>
        <w:pStyle w:val="H23"/>
        <w:ind w:left="1742" w:right="1260" w:hanging="1742"/>
      </w:pPr>
      <w:r>
        <w:tab/>
      </w:r>
      <w:r>
        <w:tab/>
      </w:r>
      <w:r>
        <w:tab/>
        <w:t xml:space="preserve">Section 1 </w:t>
      </w:r>
      <w:r>
        <w:br/>
        <w:t xml:space="preserve">General provisions </w:t>
      </w:r>
    </w:p>
    <w:p w14:paraId="70A258D2" w14:textId="77777777" w:rsidR="003854AC" w:rsidRDefault="003854AC">
      <w:pPr>
        <w:pStyle w:val="SingleTxt"/>
        <w:spacing w:after="0" w:line="120" w:lineRule="exact"/>
        <w:rPr>
          <w:sz w:val="10"/>
        </w:rPr>
      </w:pPr>
    </w:p>
    <w:p w14:paraId="1F3668B3" w14:textId="77777777" w:rsidR="003854AC" w:rsidRDefault="003854AC">
      <w:pPr>
        <w:pStyle w:val="SingleTxt"/>
        <w:ind w:left="1742" w:hanging="475"/>
      </w:pPr>
      <w:r>
        <w:tab/>
      </w:r>
      <w:r>
        <w:tab/>
        <w:t xml:space="preserve">Language competitive examinations may be held from time to time for the purposes of recruitment or placement in posts requiring specific language skills in the Professional category in accordance with the needs of the Organization. Specific arrangements for such examinations shall be announced well in advance to staff members through the United Nations iSeek intranet and broadcast e-mail messages, and for external candidates through the United Nations Careers Portal. The announcements will provide, inter alia, tentative dates on which the examinations will be held and information concerning the application procedure. </w:t>
      </w:r>
    </w:p>
    <w:p w14:paraId="055B70F9" w14:textId="77777777" w:rsidR="003854AC" w:rsidRDefault="003854AC">
      <w:pPr>
        <w:pStyle w:val="SingleTxt"/>
      </w:pPr>
      <w:r>
        <w:t>3.</w:t>
      </w:r>
      <w:r>
        <w:tab/>
        <w:t xml:space="preserve">Section 2.1 (a) is replaced by the text set out below: </w:t>
      </w:r>
    </w:p>
    <w:p w14:paraId="2009C10C" w14:textId="77777777" w:rsidR="003854AC" w:rsidRDefault="003854AC">
      <w:pPr>
        <w:pStyle w:val="SingleTxt"/>
        <w:ind w:left="1742" w:hanging="475"/>
      </w:pPr>
      <w:r>
        <w:tab/>
      </w:r>
      <w:r>
        <w:tab/>
        <w:t>(a)</w:t>
      </w:r>
      <w:r>
        <w:tab/>
        <w:t>Meets the minimum entrance criteria for that examination, as set out in the relevant announcement;</w:t>
      </w:r>
    </w:p>
    <w:p w14:paraId="313FB2DE" w14:textId="77777777" w:rsidR="003854AC" w:rsidRDefault="003854AC">
      <w:pPr>
        <w:pStyle w:val="SingleTxt"/>
      </w:pPr>
      <w:r>
        <w:t>4.</w:t>
      </w:r>
      <w:r>
        <w:tab/>
        <w:t xml:space="preserve">Section 2.2 is replaced by the text set out below: </w:t>
      </w:r>
    </w:p>
    <w:p w14:paraId="73BDA964" w14:textId="77777777" w:rsidR="003854AC" w:rsidRDefault="003854AC">
      <w:pPr>
        <w:pStyle w:val="SingleTxt"/>
        <w:ind w:left="1742" w:hanging="475"/>
      </w:pPr>
      <w:r>
        <w:tab/>
        <w:t xml:space="preserve">2.2 </w:t>
      </w:r>
      <w:r>
        <w:tab/>
        <w:t>An external candidate may apply to take a competitive examination for recruitment to a post requiring specific language skills in the Professional category, provided he or she meets the minimum entrance criteria for that examination, as set out in the relevant announcement.</w:t>
      </w:r>
    </w:p>
    <w:p w14:paraId="4E184AC0" w14:textId="77777777" w:rsidR="003854AC" w:rsidRDefault="003854AC">
      <w:pPr>
        <w:pStyle w:val="SingleTxt"/>
      </w:pPr>
      <w:r>
        <w:t>5.</w:t>
      </w:r>
      <w:r>
        <w:tab/>
        <w:t xml:space="preserve">Section 3 is replaced by the text set out below: </w:t>
      </w:r>
    </w:p>
    <w:p w14:paraId="14F89779" w14:textId="77777777" w:rsidR="003854AC" w:rsidRDefault="003854AC">
      <w:pPr>
        <w:pStyle w:val="SingleTxt"/>
        <w:spacing w:after="0" w:line="120" w:lineRule="exact"/>
        <w:rPr>
          <w:sz w:val="10"/>
        </w:rPr>
      </w:pPr>
    </w:p>
    <w:p w14:paraId="1FD7A9C4" w14:textId="77777777" w:rsidR="003854AC" w:rsidRDefault="003854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lastRenderedPageBreak/>
        <w:tab/>
      </w:r>
      <w:r>
        <w:tab/>
      </w:r>
      <w:r>
        <w:tab/>
        <w:t xml:space="preserve">Section 3 </w:t>
      </w:r>
      <w:r>
        <w:br/>
        <w:t xml:space="preserve">Applications </w:t>
      </w:r>
    </w:p>
    <w:p w14:paraId="2F988F82" w14:textId="77777777" w:rsidR="003854AC" w:rsidRDefault="003854AC">
      <w:pPr>
        <w:pStyle w:val="SingleTxt"/>
        <w:keepNext/>
        <w:spacing w:after="0" w:line="120" w:lineRule="exact"/>
        <w:rPr>
          <w:sz w:val="10"/>
        </w:rPr>
      </w:pPr>
    </w:p>
    <w:p w14:paraId="0AC636C3" w14:textId="77777777" w:rsidR="003854AC" w:rsidRDefault="003854AC">
      <w:pPr>
        <w:pStyle w:val="SingleTxt"/>
        <w:keepNext/>
        <w:ind w:left="1742" w:hanging="475"/>
      </w:pPr>
      <w:r>
        <w:tab/>
      </w:r>
      <w:r>
        <w:tab/>
        <w:t xml:space="preserve">Staff members who wish to apply to take a language examination for recruitment to posts advertised in Inspira shall complete the profile and application sections in Inspira and submit them with all required documents by the deadline indicated in the relevant announcement, which will be made available through the United Nations Careers Portal on iSeek. </w:t>
      </w:r>
    </w:p>
    <w:p w14:paraId="712F83B8" w14:textId="77777777" w:rsidR="003854AC" w:rsidRDefault="003854AC">
      <w:pPr>
        <w:pStyle w:val="SingleTxt"/>
      </w:pPr>
      <w:r>
        <w:t>6.</w:t>
      </w:r>
      <w:r>
        <w:tab/>
        <w:t>The present instruction shall enter into force on the date of its issuance.</w:t>
      </w:r>
    </w:p>
    <w:p w14:paraId="46DD227A" w14:textId="77777777" w:rsidR="003854AC" w:rsidRDefault="003854AC">
      <w:pPr>
        <w:pStyle w:val="SingleTxt"/>
        <w:spacing w:after="0" w:line="120" w:lineRule="exact"/>
        <w:rPr>
          <w:sz w:val="10"/>
        </w:rPr>
      </w:pPr>
    </w:p>
    <w:p w14:paraId="2C808D3F" w14:textId="77777777" w:rsidR="003854AC" w:rsidRDefault="003854AC">
      <w:pPr>
        <w:pStyle w:val="SingleTxt"/>
        <w:spacing w:after="0" w:line="120" w:lineRule="exact"/>
        <w:rPr>
          <w:sz w:val="10"/>
        </w:rPr>
      </w:pPr>
    </w:p>
    <w:p w14:paraId="5AB76514" w14:textId="77777777" w:rsidR="003854AC" w:rsidRDefault="003854AC">
      <w:pPr>
        <w:pStyle w:val="SingleTxt"/>
        <w:jc w:val="right"/>
      </w:pPr>
      <w:r>
        <w:t>(</w:t>
      </w:r>
      <w:r>
        <w:rPr>
          <w:i/>
        </w:rPr>
        <w:t>Signed</w:t>
      </w:r>
      <w:r>
        <w:t xml:space="preserve">) Warren </w:t>
      </w:r>
      <w:r>
        <w:rPr>
          <w:b/>
        </w:rPr>
        <w:t>Sach</w:t>
      </w:r>
      <w:r>
        <w:rPr>
          <w:b/>
        </w:rPr>
        <w:br/>
      </w:r>
      <w:r>
        <w:t>Officer-in-Charge</w:t>
      </w:r>
      <w:r>
        <w:br/>
        <w:t>Department of Management</w:t>
      </w:r>
    </w:p>
    <w:p w14:paraId="48AD9D23" w14:textId="542599DA" w:rsidR="003854AC" w:rsidRDefault="00356592">
      <w:pPr>
        <w:pStyle w:val="SingleTxt"/>
        <w:jc w:val="right"/>
      </w:pPr>
      <w:r>
        <w:rPr>
          <w:noProof/>
          <w:w w:val="100"/>
          <w:lang w:val="en-US"/>
        </w:rPr>
        <mc:AlternateContent>
          <mc:Choice Requires="wps">
            <w:drawing>
              <wp:anchor distT="0" distB="0" distL="114300" distR="114300" simplePos="0" relativeHeight="251657728" behindDoc="0" locked="0" layoutInCell="1" allowOverlap="1" wp14:anchorId="47721EA2" wp14:editId="4ABD1D9B">
                <wp:simplePos x="0" y="0"/>
                <wp:positionH relativeFrom="column">
                  <wp:posOffset>2669540</wp:posOffset>
                </wp:positionH>
                <wp:positionV relativeFrom="paragraph">
                  <wp:posOffset>304800</wp:posOffset>
                </wp:positionV>
                <wp:extent cx="914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5BAF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" strokeweight=".25pt"/>
            </w:pict>
          </mc:Fallback>
        </mc:AlternateContent>
      </w:r>
    </w:p>
    <w:sectPr w:rsidR="003854AC">
      <w:type w:val="continuous"/>
      <w:pgSz w:w="12240" w:h="15840" w:code="1"/>
      <w:pgMar w:top="1742" w:right="1195" w:bottom="1901" w:left="1195" w:header="576" w:footer="103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CFF2" w14:textId="77777777" w:rsidR="008626DB" w:rsidRDefault="008626DB">
      <w:r>
        <w:separator/>
      </w:r>
    </w:p>
  </w:endnote>
  <w:endnote w:type="continuationSeparator" w:id="0">
    <w:p w14:paraId="5AC34B24" w14:textId="77777777" w:rsidR="008626DB" w:rsidRDefault="0086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33"/>
      <w:gridCol w:w="5033"/>
    </w:tblGrid>
    <w:tr w:rsidR="00A41995" w14:paraId="60684E8C" w14:textId="77777777" w:rsidTr="00A41995">
      <w:tblPrEx>
        <w:tblCellMar>
          <w:top w:w="0" w:type="dxa"/>
          <w:bottom w:w="0" w:type="dxa"/>
        </w:tblCellMar>
      </w:tblPrEx>
      <w:tc>
        <w:tcPr>
          <w:tcW w:w="5033" w:type="dxa"/>
        </w:tcPr>
        <w:p w14:paraId="51575D7C" w14:textId="77777777" w:rsidR="00A41995" w:rsidRDefault="00A4199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12-33427</w:t>
          </w:r>
          <w:r>
            <w:rPr>
              <w:b w:val="0"/>
              <w:w w:val="103"/>
              <w:sz w:val="14"/>
            </w:rPr>
            <w:fldChar w:fldCharType="end"/>
          </w:r>
        </w:p>
      </w:tc>
      <w:tc>
        <w:tcPr>
          <w:tcW w:w="5033" w:type="dxa"/>
        </w:tcPr>
        <w:p w14:paraId="1FAA3963" w14:textId="77777777" w:rsidR="00A41995" w:rsidRDefault="00A41995">
          <w:pPr>
            <w:pStyle w:val="Footer"/>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r>
  </w:tbl>
  <w:p w14:paraId="1C9A4AEC" w14:textId="77777777" w:rsidR="003854AC" w:rsidRDefault="00385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33"/>
      <w:gridCol w:w="5033"/>
    </w:tblGrid>
    <w:tr w:rsidR="003854AC" w14:paraId="1B68F081" w14:textId="77777777">
      <w:tblPrEx>
        <w:tblCellMar>
          <w:top w:w="0" w:type="dxa"/>
          <w:bottom w:w="0" w:type="dxa"/>
        </w:tblCellMar>
      </w:tblPrEx>
      <w:trPr>
        <w:jc w:val="right"/>
      </w:trPr>
      <w:tc>
        <w:tcPr>
          <w:tcW w:w="5033" w:type="dxa"/>
        </w:tcPr>
        <w:p w14:paraId="31391767" w14:textId="77777777" w:rsidR="003854AC" w:rsidRDefault="003854AC">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w:t>
          </w:r>
          <w:r>
            <w:rPr>
              <w:w w:val="103"/>
            </w:rPr>
            <w:fldChar w:fldCharType="end"/>
          </w:r>
        </w:p>
      </w:tc>
      <w:tc>
        <w:tcPr>
          <w:tcW w:w="5033" w:type="dxa"/>
        </w:tcPr>
        <w:p w14:paraId="7643A048" w14:textId="77777777" w:rsidR="003854AC" w:rsidRDefault="003854A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12-33427</w:t>
          </w:r>
          <w:r>
            <w:rPr>
              <w:b w:val="0"/>
              <w:w w:val="103"/>
              <w:sz w:val="14"/>
            </w:rPr>
            <w:fldChar w:fldCharType="end"/>
          </w:r>
        </w:p>
      </w:tc>
    </w:tr>
  </w:tbl>
  <w:p w14:paraId="23DF5291" w14:textId="77777777" w:rsidR="003854AC" w:rsidRDefault="00385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33"/>
      <w:gridCol w:w="5033"/>
    </w:tblGrid>
    <w:tr w:rsidR="003854AC" w14:paraId="0747EB8E" w14:textId="77777777">
      <w:tblPrEx>
        <w:tblCellMar>
          <w:top w:w="0" w:type="dxa"/>
          <w:bottom w:w="0" w:type="dxa"/>
        </w:tblCellMar>
      </w:tblPrEx>
      <w:tc>
        <w:tcPr>
          <w:tcW w:w="5033" w:type="dxa"/>
        </w:tcPr>
        <w:p w14:paraId="093D5722" w14:textId="77777777" w:rsidR="003854AC" w:rsidRDefault="003854A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12-33427 (E)</w:t>
          </w:r>
          <w:r>
            <w:rPr>
              <w:b w:val="0"/>
              <w:sz w:val="20"/>
            </w:rPr>
            <w:fldChar w:fldCharType="end"/>
          </w:r>
          <w:r>
            <w:rPr>
              <w:b w:val="0"/>
              <w:sz w:val="20"/>
            </w:rPr>
            <w:t xml:space="preserve">    110512</w:t>
          </w:r>
        </w:p>
        <w:p w14:paraId="11447045" w14:textId="77777777" w:rsidR="003854AC" w:rsidRDefault="003854A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*1233427*</w:t>
          </w:r>
          <w:r>
            <w:rPr>
              <w:rFonts w:ascii="Barcode 3 of 9 by request" w:hAnsi="Barcode 3 of 9 by request"/>
              <w:b w:val="0"/>
              <w:sz w:val="24"/>
            </w:rPr>
            <w:fldChar w:fldCharType="end"/>
          </w:r>
        </w:p>
      </w:tc>
      <w:tc>
        <w:tcPr>
          <w:tcW w:w="5033" w:type="dxa"/>
        </w:tcPr>
        <w:p w14:paraId="0993D465" w14:textId="70638AA3" w:rsidR="003854AC" w:rsidRDefault="00356592">
          <w:pPr>
            <w:pStyle w:val="Footer"/>
            <w:jc w:val="right"/>
            <w:rPr>
              <w:b w:val="0"/>
              <w:sz w:val="20"/>
            </w:rPr>
          </w:pPr>
          <w:r>
            <w:rPr>
              <w:b w:val="0"/>
              <w:sz w:val="20"/>
            </w:rPr>
            <w:drawing>
              <wp:inline distT="0" distB="0" distL="0" distR="0" wp14:anchorId="1E458F00" wp14:editId="7CC6C43E">
                <wp:extent cx="925195"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228600"/>
                        </a:xfrm>
                        <a:prstGeom prst="rect">
                          <a:avLst/>
                        </a:prstGeom>
                        <a:noFill/>
                        <a:ln>
                          <a:noFill/>
                        </a:ln>
                      </pic:spPr>
                    </pic:pic>
                  </a:graphicData>
                </a:graphic>
              </wp:inline>
            </w:drawing>
          </w:r>
        </w:p>
      </w:tc>
    </w:tr>
  </w:tbl>
  <w:p w14:paraId="6D245749" w14:textId="77777777" w:rsidR="003854AC" w:rsidRDefault="003854A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64583" w14:textId="77777777" w:rsidR="008626DB" w:rsidRDefault="008626DB">
      <w:r>
        <w:separator/>
      </w:r>
    </w:p>
  </w:footnote>
  <w:footnote w:type="continuationSeparator" w:id="0">
    <w:p w14:paraId="6D059151" w14:textId="77777777" w:rsidR="008626DB" w:rsidRDefault="0086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854AC" w14:paraId="497E2381" w14:textId="77777777">
      <w:tblPrEx>
        <w:tblCellMar>
          <w:top w:w="0" w:type="dxa"/>
          <w:bottom w:w="0" w:type="dxa"/>
        </w:tblCellMar>
      </w:tblPrEx>
      <w:trPr>
        <w:trHeight w:hRule="exact" w:val="864"/>
      </w:trPr>
      <w:tc>
        <w:tcPr>
          <w:tcW w:w="4838" w:type="dxa"/>
          <w:vAlign w:val="bottom"/>
        </w:tcPr>
        <w:p w14:paraId="10967172" w14:textId="77777777" w:rsidR="003854AC" w:rsidRDefault="003854AC">
          <w:pPr>
            <w:pStyle w:val="Header"/>
            <w:spacing w:after="80"/>
            <w:rPr>
              <w:b/>
            </w:rPr>
          </w:pPr>
          <w:r>
            <w:rPr>
              <w:b/>
            </w:rPr>
            <w:fldChar w:fldCharType="begin"/>
          </w:r>
          <w:r>
            <w:rPr>
              <w:b/>
            </w:rPr>
            <w:instrText xml:space="preserve"> DOCVARIABLE "sss1" \* MERGEFORMAT </w:instrText>
          </w:r>
          <w:r>
            <w:rPr>
              <w:b/>
            </w:rPr>
            <w:fldChar w:fldCharType="separate"/>
          </w:r>
          <w:r>
            <w:rPr>
              <w:b/>
            </w:rPr>
            <w:t>ST/AI/1998/7/Amend.1</w:t>
          </w:r>
          <w:r>
            <w:rPr>
              <w:b/>
            </w:rPr>
            <w:fldChar w:fldCharType="end"/>
          </w:r>
        </w:p>
      </w:tc>
      <w:tc>
        <w:tcPr>
          <w:tcW w:w="5033" w:type="dxa"/>
          <w:vAlign w:val="bottom"/>
        </w:tcPr>
        <w:p w14:paraId="768AE4F3" w14:textId="77777777" w:rsidR="003854AC" w:rsidRDefault="003854AC">
          <w:pPr>
            <w:pStyle w:val="Header"/>
          </w:pPr>
        </w:p>
      </w:tc>
    </w:tr>
  </w:tbl>
  <w:p w14:paraId="0724F4FE" w14:textId="77777777" w:rsidR="003854AC" w:rsidRDefault="00385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854AC" w14:paraId="068AE1EE" w14:textId="77777777">
      <w:tblPrEx>
        <w:tblCellMar>
          <w:top w:w="0" w:type="dxa"/>
          <w:bottom w:w="0" w:type="dxa"/>
        </w:tblCellMar>
      </w:tblPrEx>
      <w:trPr>
        <w:trHeight w:hRule="exact" w:val="864"/>
      </w:trPr>
      <w:tc>
        <w:tcPr>
          <w:tcW w:w="4838" w:type="dxa"/>
          <w:vAlign w:val="bottom"/>
        </w:tcPr>
        <w:p w14:paraId="74CB2CE5" w14:textId="77777777" w:rsidR="003854AC" w:rsidRDefault="003854AC">
          <w:pPr>
            <w:pStyle w:val="Header"/>
          </w:pPr>
        </w:p>
      </w:tc>
      <w:tc>
        <w:tcPr>
          <w:tcW w:w="5033" w:type="dxa"/>
          <w:vAlign w:val="bottom"/>
        </w:tcPr>
        <w:p w14:paraId="3186417B" w14:textId="77777777" w:rsidR="003854AC" w:rsidRDefault="003854AC">
          <w:pPr>
            <w:pStyle w:val="Header"/>
            <w:spacing w:after="80"/>
            <w:jc w:val="right"/>
            <w:rPr>
              <w:b/>
            </w:rPr>
          </w:pPr>
          <w:r>
            <w:rPr>
              <w:b/>
            </w:rPr>
            <w:fldChar w:fldCharType="begin"/>
          </w:r>
          <w:r>
            <w:rPr>
              <w:b/>
            </w:rPr>
            <w:instrText xml:space="preserve"> DOCVARIABLE "sss1" \* MERGEFORMAT </w:instrText>
          </w:r>
          <w:r>
            <w:rPr>
              <w:b/>
            </w:rPr>
            <w:fldChar w:fldCharType="separate"/>
          </w:r>
          <w:r>
            <w:rPr>
              <w:b/>
            </w:rPr>
            <w:t>ST/AI/1998/7/Amend.1</w:t>
          </w:r>
          <w:r>
            <w:rPr>
              <w:b/>
            </w:rPr>
            <w:fldChar w:fldCharType="end"/>
          </w:r>
        </w:p>
      </w:tc>
    </w:tr>
  </w:tbl>
  <w:p w14:paraId="190A1D90" w14:textId="77777777" w:rsidR="003854AC" w:rsidRDefault="00385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854AC" w14:paraId="69FACEAC" w14:textId="77777777">
      <w:tblPrEx>
        <w:tblCellMar>
          <w:top w:w="0" w:type="dxa"/>
          <w:bottom w:w="0" w:type="dxa"/>
        </w:tblCellMar>
      </w:tblPrEx>
      <w:trPr>
        <w:trHeight w:hRule="exact" w:val="864"/>
      </w:trPr>
      <w:tc>
        <w:tcPr>
          <w:tcW w:w="1267" w:type="dxa"/>
          <w:tcBorders>
            <w:bottom w:val="single" w:sz="4" w:space="0" w:color="auto"/>
          </w:tcBorders>
          <w:vAlign w:val="bottom"/>
        </w:tcPr>
        <w:p w14:paraId="4CDDC9EA" w14:textId="77777777" w:rsidR="003854AC" w:rsidRDefault="003854AC">
          <w:pPr>
            <w:pStyle w:val="Header"/>
            <w:spacing w:after="120"/>
          </w:pPr>
        </w:p>
      </w:tc>
      <w:tc>
        <w:tcPr>
          <w:tcW w:w="1872" w:type="dxa"/>
          <w:tcBorders>
            <w:bottom w:val="single" w:sz="4" w:space="0" w:color="auto"/>
          </w:tcBorders>
          <w:vAlign w:val="bottom"/>
        </w:tcPr>
        <w:p w14:paraId="7397F444" w14:textId="77777777" w:rsidR="003854AC" w:rsidRDefault="003854AC">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14:paraId="2782C1E0" w14:textId="77777777" w:rsidR="003854AC" w:rsidRDefault="003854AC">
          <w:pPr>
            <w:pStyle w:val="Header"/>
            <w:spacing w:after="120"/>
          </w:pPr>
        </w:p>
      </w:tc>
      <w:tc>
        <w:tcPr>
          <w:tcW w:w="6523" w:type="dxa"/>
          <w:gridSpan w:val="4"/>
          <w:tcBorders>
            <w:bottom w:val="single" w:sz="4" w:space="0" w:color="auto"/>
          </w:tcBorders>
          <w:vAlign w:val="bottom"/>
        </w:tcPr>
        <w:p w14:paraId="5E547AE0" w14:textId="77777777" w:rsidR="003854AC" w:rsidRDefault="003854AC">
          <w:pPr>
            <w:spacing w:after="80" w:line="240" w:lineRule="auto"/>
            <w:jc w:val="right"/>
            <w:rPr>
              <w:position w:val="-4"/>
            </w:rPr>
          </w:pPr>
          <w:r>
            <w:rPr>
              <w:position w:val="-4"/>
              <w:sz w:val="40"/>
            </w:rPr>
            <w:t>ST</w:t>
          </w:r>
          <w:r>
            <w:rPr>
              <w:position w:val="-4"/>
            </w:rPr>
            <w:t>/AI/1998/7/Amend.1</w:t>
          </w:r>
        </w:p>
      </w:tc>
    </w:tr>
    <w:tr w:rsidR="003854AC" w14:paraId="3054BCCD" w14:textId="77777777">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14:paraId="55D77A85" w14:textId="5F066C43" w:rsidR="003854AC" w:rsidRDefault="003854AC">
          <w:pPr>
            <w:pStyle w:val="Header"/>
            <w:spacing w:before="109"/>
          </w:pPr>
          <w:r>
            <w:t xml:space="preserve"> </w:t>
          </w:r>
          <w:r w:rsidR="00356592">
            <w:drawing>
              <wp:inline distT="0" distB="0" distL="0" distR="0" wp14:anchorId="5F6AC648" wp14:editId="20906885">
                <wp:extent cx="707390" cy="59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98805"/>
                        </a:xfrm>
                        <a:prstGeom prst="rect">
                          <a:avLst/>
                        </a:prstGeom>
                        <a:noFill/>
                        <a:ln>
                          <a:noFill/>
                        </a:ln>
                      </pic:spPr>
                    </pic:pic>
                  </a:graphicData>
                </a:graphic>
              </wp:inline>
            </w:drawing>
          </w:r>
        </w:p>
        <w:p w14:paraId="46841895" w14:textId="77777777" w:rsidR="003854AC" w:rsidRDefault="003854AC">
          <w:pPr>
            <w:pStyle w:val="Header"/>
            <w:spacing w:before="109"/>
          </w:pPr>
        </w:p>
      </w:tc>
      <w:tc>
        <w:tcPr>
          <w:tcW w:w="5227" w:type="dxa"/>
          <w:gridSpan w:val="3"/>
          <w:tcBorders>
            <w:top w:val="single" w:sz="4" w:space="0" w:color="auto"/>
            <w:bottom w:val="single" w:sz="12" w:space="0" w:color="auto"/>
          </w:tcBorders>
        </w:tcPr>
        <w:p w14:paraId="54AFE4EB" w14:textId="77777777" w:rsidR="003854AC" w:rsidRDefault="003854AC">
          <w:pPr>
            <w:pStyle w:val="XLarge"/>
            <w:spacing w:before="109"/>
          </w:pPr>
          <w:r>
            <w:t>Secretariat</w:t>
          </w:r>
        </w:p>
      </w:tc>
      <w:tc>
        <w:tcPr>
          <w:tcW w:w="245" w:type="dxa"/>
          <w:tcBorders>
            <w:top w:val="single" w:sz="4" w:space="0" w:color="auto"/>
            <w:bottom w:val="single" w:sz="12" w:space="0" w:color="auto"/>
          </w:tcBorders>
        </w:tcPr>
        <w:p w14:paraId="7AEDEE93" w14:textId="77777777" w:rsidR="003854AC" w:rsidRDefault="003854AC">
          <w:pPr>
            <w:pStyle w:val="Header"/>
            <w:spacing w:before="109"/>
          </w:pPr>
        </w:p>
      </w:tc>
      <w:tc>
        <w:tcPr>
          <w:tcW w:w="3140" w:type="dxa"/>
          <w:tcBorders>
            <w:top w:val="single" w:sz="4" w:space="0" w:color="auto"/>
            <w:bottom w:val="single" w:sz="12" w:space="0" w:color="auto"/>
          </w:tcBorders>
        </w:tcPr>
        <w:p w14:paraId="14E66A20" w14:textId="77777777" w:rsidR="003854AC" w:rsidRDefault="003854AC">
          <w:pPr>
            <w:spacing w:before="240"/>
          </w:pPr>
        </w:p>
        <w:p w14:paraId="668216AE" w14:textId="77777777" w:rsidR="003854AC" w:rsidRDefault="003854AC">
          <w:r>
            <w:t>8 May 2012</w:t>
          </w:r>
        </w:p>
        <w:p w14:paraId="27ACEEE0" w14:textId="77777777" w:rsidR="003854AC" w:rsidRDefault="003854AC">
          <w:r>
            <w:t xml:space="preserve"> </w:t>
          </w:r>
        </w:p>
      </w:tc>
    </w:tr>
  </w:tbl>
  <w:p w14:paraId="3DDBCB81" w14:textId="77777777" w:rsidR="003854AC" w:rsidRDefault="003854A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475"/>
  <w:evenAndOddHeaders/>
  <w:drawingGridHorizontalSpacing w:val="209"/>
  <w:characterSpacingControl w:val="doNotCompress"/>
  <w:hdrShapeDefaults>
    <o:shapedefaults v:ext="edit" spidmax="2049"/>
  </w:hdrShapeDefaults>
  <w:footnotePr>
    <w:footnote w:id="-1"/>
    <w:footnote w:id="0"/>
  </w:footnotePr>
  <w:endnotePr>
    <w:pos w:val="sectEnd"/>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233427*"/>
    <w:docVar w:name="CreationDt" w:val="11/05/2012 10:45 AM"/>
    <w:docVar w:name="DocCategory" w:val="Doc"/>
    <w:docVar w:name="DocType" w:val="Final"/>
    <w:docVar w:name="FooterJN" w:val="12-33427"/>
    <w:docVar w:name="jobn" w:val="12-33427 (E)"/>
    <w:docVar w:name="jobnDT" w:val="12-33427 (E)   110512"/>
    <w:docVar w:name="jobnDTDT" w:val="12-33427 (E)   110512   110512"/>
    <w:docVar w:name="JobNo" w:val="1233427E"/>
    <w:docVar w:name="OandT" w:val=" "/>
    <w:docVar w:name="sss1" w:val="ST/AI/1998/7/Amend.1"/>
    <w:docVar w:name="sss2" w:val="-"/>
    <w:docVar w:name="Symbol1" w:val="ST/AI/1998/7/Amend.1"/>
    <w:docVar w:name="Symbol2" w:val="-"/>
  </w:docVars>
  <w:rsids>
    <w:rsidRoot w:val="00A41995"/>
    <w:rsid w:val="00356592"/>
    <w:rsid w:val="003854AC"/>
    <w:rsid w:val="008626DB"/>
    <w:rsid w:val="00A41995"/>
    <w:rsid w:val="00F971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DE577"/>
  <w15:chartTrackingRefBased/>
  <w15:docId w15:val="{5E9317EB-6EAE-444D-ACCA-349AC783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lang w:eastAsia="en-US"/>
    </w:rPr>
  </w:style>
  <w:style w:type="paragraph" w:styleId="Header">
    <w:name w:val="header"/>
    <w:semiHidden/>
    <w:pPr>
      <w:tabs>
        <w:tab w:val="center" w:pos="4320"/>
        <w:tab w:val="right" w:pos="8640"/>
      </w:tabs>
    </w:pPr>
    <w:rPr>
      <w:noProof/>
      <w:sz w:val="17"/>
      <w:lang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348</Words>
  <Characters>1988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Etpu</vt:lpstr>
      <vt:lpstr>Administrative instruction </vt:lpstr>
      <vt:lpstr>Competitive examinations for recruitment or placement in posts requiring speci</vt:lpstr>
      <vt:lpstr>    Section 1  General provisions </vt:lpstr>
      <vt:lpstr>    Section 3  Applications </vt:lpstr>
    </vt:vector>
  </TitlesOfParts>
  <Company>United Nations</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L.Nguyen</dc:creator>
  <cp:keywords/>
  <dc:description/>
  <cp:lastModifiedBy>Veronica Hoyos Farfan</cp:lastModifiedBy>
  <cp:revision>3</cp:revision>
  <cp:lastPrinted>2012-05-11T16:43:00Z</cp:lastPrinted>
  <dcterms:created xsi:type="dcterms:W3CDTF">2020-07-28T12:49:00Z</dcterms:created>
  <dcterms:modified xsi:type="dcterms:W3CDTF">2020-07-28T22:09:00Z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1233427</vt:lpwstr>
  </property>
  <property fmtid="{D5CDD505-2E9C-101B-9397-08002B2CF9AE}" pid="3" name="Symbol1">
    <vt:lpwstr>ST/AI/1998/7/Amend.1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2pp. FINAL</vt:lpwstr>
  </property>
  <property fmtid="{D5CDD505-2E9C-101B-9397-08002B2CF9AE}" pid="8" name="Operator">
    <vt:lpwstr>ras F</vt:lpwstr>
  </property>
</Properties>
</file>