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24" w:rsidRPr="00C43D46" w:rsidRDefault="00507C24" w:rsidP="00C43D46">
      <w:pPr>
        <w:spacing w:line="240" w:lineRule="auto"/>
        <w:rPr>
          <w:sz w:val="2"/>
        </w:rPr>
        <w:sectPr w:rsidR="00507C24" w:rsidRPr="00C43D46" w:rsidSect="00507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D1600B" w:rsidRPr="00D1600B" w:rsidRDefault="00D1600B" w:rsidP="00D1600B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>
        <w:rPr>
          <w:spacing w:val="5"/>
          <w:sz w:val="17"/>
          <w:szCs w:val="20"/>
        </w:rPr>
        <w:tab/>
        <w:t>*</w:t>
      </w:r>
      <w:r>
        <w:rPr>
          <w:spacing w:val="5"/>
          <w:sz w:val="17"/>
          <w:szCs w:val="20"/>
        </w:rPr>
        <w:tab/>
        <w:t>Date d</w:t>
      </w:r>
      <w:r w:rsidR="00DB38F2">
        <w:rPr>
          <w:spacing w:val="5"/>
          <w:sz w:val="17"/>
          <w:szCs w:val="20"/>
        </w:rPr>
        <w:t>’</w:t>
      </w:r>
      <w:r>
        <w:rPr>
          <w:spacing w:val="5"/>
          <w:sz w:val="17"/>
          <w:szCs w:val="20"/>
        </w:rPr>
        <w:t>expiration</w:t>
      </w:r>
      <w:r w:rsidRPr="00D1600B">
        <w:rPr>
          <w:spacing w:val="5"/>
          <w:sz w:val="17"/>
          <w:szCs w:val="20"/>
        </w:rPr>
        <w:t> : 1</w:t>
      </w:r>
      <w:r w:rsidRPr="00D1600B">
        <w:rPr>
          <w:spacing w:val="5"/>
          <w:sz w:val="17"/>
          <w:szCs w:val="20"/>
          <w:vertAlign w:val="superscript"/>
        </w:rPr>
        <w:t>er</w:t>
      </w:r>
      <w:r w:rsidRPr="00D1600B">
        <w:rPr>
          <w:spacing w:val="5"/>
          <w:sz w:val="17"/>
          <w:szCs w:val="20"/>
        </w:rPr>
        <w:t xml:space="preserve"> juillet 2017. </w:t>
      </w:r>
      <w:r w:rsidRPr="00D1600B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0469" wp14:editId="1A92F694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B36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23297C" w:rsidRDefault="0023297C" w:rsidP="0023297C">
      <w:pPr>
        <w:pStyle w:val="HCH"/>
        <w:ind w:left="1310"/>
      </w:pPr>
      <w:r>
        <w:t>Circulaire</w:t>
      </w:r>
      <w:r w:rsidRPr="0023297C">
        <w:rPr>
          <w:b w:val="0"/>
          <w:sz w:val="20"/>
          <w:szCs w:val="20"/>
        </w:rPr>
        <w:t>*</w:t>
      </w:r>
    </w:p>
    <w:p w:rsidR="0023297C" w:rsidRDefault="0023297C" w:rsidP="0023297C">
      <w:pPr>
        <w:pStyle w:val="HCH"/>
        <w:ind w:left="1310"/>
      </w:pPr>
    </w:p>
    <w:p w:rsidR="0023297C" w:rsidRDefault="0023297C" w:rsidP="0023297C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="00722515">
        <w:rPr>
          <w:lang w:val="fr-FR"/>
        </w:rPr>
        <w:t>Circulaire de la Sous-Secrétaire générale à la gestion des ressources humaines</w:t>
      </w:r>
    </w:p>
    <w:p w:rsidR="0023297C" w:rsidRPr="0023297C" w:rsidRDefault="0023297C" w:rsidP="0023297C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23297C" w:rsidRDefault="0023297C" w:rsidP="0023297C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="00722515">
        <w:rPr>
          <w:lang w:val="fr-FR"/>
        </w:rPr>
        <w:t>Les fonctionnaires du Secrétariat</w:t>
      </w:r>
    </w:p>
    <w:p w:rsidR="0023297C" w:rsidRDefault="0023297C" w:rsidP="0023297C">
      <w:pPr>
        <w:tabs>
          <w:tab w:val="right" w:pos="1166"/>
          <w:tab w:val="left" w:pos="1310"/>
        </w:tabs>
        <w:ind w:left="1310" w:hanging="1310"/>
      </w:pPr>
    </w:p>
    <w:p w:rsidR="0023297C" w:rsidRDefault="0023297C" w:rsidP="0023297C">
      <w:pPr>
        <w:pStyle w:val="H1"/>
        <w:tabs>
          <w:tab w:val="right" w:pos="1166"/>
          <w:tab w:val="left" w:pos="1310"/>
        </w:tabs>
        <w:ind w:left="1310" w:hanging="1310"/>
      </w:pPr>
      <w:r w:rsidRPr="0023297C">
        <w:rPr>
          <w:b w:val="0"/>
          <w:sz w:val="20"/>
        </w:rPr>
        <w:tab/>
        <w:t>Objet :</w:t>
      </w:r>
      <w:r w:rsidRPr="0023297C">
        <w:rPr>
          <w:b w:val="0"/>
          <w:sz w:val="20"/>
        </w:rPr>
        <w:tab/>
      </w:r>
      <w:r w:rsidR="00722515">
        <w:rPr>
          <w:szCs w:val="24"/>
          <w:lang w:val="fr-FR"/>
        </w:rPr>
        <w:t>Désignation des lieux d</w:t>
      </w:r>
      <w:r w:rsidR="00DB38F2">
        <w:rPr>
          <w:szCs w:val="24"/>
          <w:lang w:val="fr-FR"/>
        </w:rPr>
        <w:t>’</w:t>
      </w:r>
      <w:r w:rsidR="00722515">
        <w:rPr>
          <w:szCs w:val="24"/>
          <w:lang w:val="fr-FR"/>
        </w:rPr>
        <w:t xml:space="preserve">affectation aux fins </w:t>
      </w:r>
      <w:r w:rsidR="00D1600B">
        <w:rPr>
          <w:szCs w:val="24"/>
          <w:lang w:val="fr-FR"/>
        </w:rPr>
        <w:br/>
      </w:r>
      <w:r w:rsidR="00722515">
        <w:rPr>
          <w:szCs w:val="24"/>
          <w:lang w:val="fr-FR"/>
        </w:rPr>
        <w:t>du congé de détente</w:t>
      </w:r>
    </w:p>
    <w:p w:rsidR="0023297C" w:rsidRPr="0023297C" w:rsidRDefault="0023297C" w:rsidP="0023297C">
      <w:pPr>
        <w:spacing w:line="120" w:lineRule="exact"/>
        <w:rPr>
          <w:sz w:val="10"/>
        </w:rPr>
      </w:pPr>
    </w:p>
    <w:p w:rsidR="0023297C" w:rsidRPr="0023297C" w:rsidRDefault="0023297C" w:rsidP="0023297C">
      <w:pPr>
        <w:spacing w:line="120" w:lineRule="exact"/>
        <w:rPr>
          <w:sz w:val="10"/>
        </w:rPr>
      </w:pPr>
    </w:p>
    <w:p w:rsidR="0023297C" w:rsidRPr="0023297C" w:rsidRDefault="0023297C" w:rsidP="00B14337">
      <w:pPr>
        <w:pStyle w:val="SingleTxt"/>
        <w:numPr>
          <w:ilvl w:val="0"/>
          <w:numId w:val="17"/>
        </w:numPr>
        <w:spacing w:line="240" w:lineRule="exact"/>
        <w:ind w:left="1267"/>
        <w:rPr>
          <w:lang w:val="fr-FR"/>
        </w:rPr>
      </w:pPr>
      <w:r w:rsidRPr="0023297C">
        <w:rPr>
          <w:lang w:val="fr-FR"/>
        </w:rPr>
        <w:t>Conformément à l</w:t>
      </w:r>
      <w:r w:rsidR="00DB38F2">
        <w:rPr>
          <w:lang w:val="fr-FR"/>
        </w:rPr>
        <w:t>’</w:t>
      </w:r>
      <w:r w:rsidRPr="0023297C">
        <w:rPr>
          <w:lang w:val="fr-FR"/>
        </w:rPr>
        <w:t xml:space="preserve">instruction administrative </w:t>
      </w:r>
      <w:hyperlink r:id="rId13" w:history="1">
        <w:r w:rsidRPr="0023297C">
          <w:rPr>
            <w:rStyle w:val="Hyperlink"/>
            <w:lang w:val="fr-FR"/>
          </w:rPr>
          <w:t>ST/AI/2011/7</w:t>
        </w:r>
      </w:hyperlink>
      <w:r w:rsidRPr="0023297C">
        <w:rPr>
          <w:lang w:val="fr-FR"/>
        </w:rPr>
        <w:t xml:space="preserve"> et Amend.1 et 2 sur le congé de détente, et à l</w:t>
      </w:r>
      <w:r w:rsidR="00DB38F2">
        <w:rPr>
          <w:lang w:val="fr-FR"/>
        </w:rPr>
        <w:t>’</w:t>
      </w:r>
      <w:r w:rsidRPr="0023297C">
        <w:rPr>
          <w:lang w:val="fr-FR"/>
        </w:rPr>
        <w:t xml:space="preserve">issue de consultations </w:t>
      </w:r>
      <w:proofErr w:type="spellStart"/>
      <w:r w:rsidRPr="0023297C">
        <w:rPr>
          <w:lang w:val="fr-FR"/>
        </w:rPr>
        <w:t>interinstitutions</w:t>
      </w:r>
      <w:proofErr w:type="spellEnd"/>
      <w:r w:rsidRPr="0023297C">
        <w:rPr>
          <w:lang w:val="fr-FR"/>
        </w:rPr>
        <w:t>, le Bureau de la gestion des ressources humaines approuve par la présente circulaire la liste des lieux d</w:t>
      </w:r>
      <w:r w:rsidR="00DB38F2">
        <w:rPr>
          <w:lang w:val="fr-FR"/>
        </w:rPr>
        <w:t>’</w:t>
      </w:r>
      <w:r w:rsidRPr="0023297C">
        <w:rPr>
          <w:lang w:val="fr-FR"/>
        </w:rPr>
        <w:t>affectation donnant droit au congé de détente, la périodicité du congé et les localités où il est pris. On trouvera en annexe la liste des lieux d</w:t>
      </w:r>
      <w:r w:rsidR="00DB38F2">
        <w:rPr>
          <w:lang w:val="fr-FR"/>
        </w:rPr>
        <w:t>’</w:t>
      </w:r>
      <w:r w:rsidRPr="0023297C">
        <w:rPr>
          <w:lang w:val="fr-FR"/>
        </w:rPr>
        <w:t>affectation ouvrant droit au congé de détente au 1</w:t>
      </w:r>
      <w:r w:rsidRPr="0023297C">
        <w:rPr>
          <w:vertAlign w:val="superscript"/>
          <w:lang w:val="fr-FR"/>
        </w:rPr>
        <w:t>er</w:t>
      </w:r>
      <w:r w:rsidRPr="0023297C">
        <w:rPr>
          <w:lang w:val="fr-FR"/>
        </w:rPr>
        <w:t> janvier 2017.</w:t>
      </w:r>
    </w:p>
    <w:p w:rsidR="0023297C" w:rsidRPr="0023297C" w:rsidRDefault="0023297C" w:rsidP="00B14337">
      <w:pPr>
        <w:pStyle w:val="SingleTxt"/>
        <w:numPr>
          <w:ilvl w:val="0"/>
          <w:numId w:val="17"/>
        </w:numPr>
        <w:spacing w:line="240" w:lineRule="exact"/>
        <w:ind w:left="1267"/>
        <w:rPr>
          <w:lang w:val="fr-FR"/>
        </w:rPr>
      </w:pPr>
      <w:r w:rsidRPr="0023297C">
        <w:rPr>
          <w:lang w:val="fr-FR"/>
        </w:rPr>
        <w:t>Dans les lieux d</w:t>
      </w:r>
      <w:r w:rsidR="00DB38F2">
        <w:rPr>
          <w:lang w:val="fr-FR"/>
        </w:rPr>
        <w:t>’</w:t>
      </w:r>
      <w:r w:rsidRPr="0023297C">
        <w:rPr>
          <w:lang w:val="fr-FR"/>
        </w:rPr>
        <w:t>affectation où la périodicité du congé a été réduite, le nouveau cycle prend effet immédiatement. Dans les lieux d</w:t>
      </w:r>
      <w:r w:rsidR="00DB38F2">
        <w:rPr>
          <w:lang w:val="fr-FR"/>
        </w:rPr>
        <w:t>’</w:t>
      </w:r>
      <w:r w:rsidRPr="0023297C">
        <w:rPr>
          <w:lang w:val="fr-FR"/>
        </w:rPr>
        <w:t>affectation où elle s</w:t>
      </w:r>
      <w:r w:rsidR="00DB38F2">
        <w:rPr>
          <w:lang w:val="fr-FR"/>
        </w:rPr>
        <w:t>’</w:t>
      </w:r>
      <w:r w:rsidRPr="0023297C">
        <w:rPr>
          <w:lang w:val="fr-FR"/>
        </w:rPr>
        <w:t>est accrue (de 4 à 6, de 6 à 8 ou de 8 à 12 semaines) et dans ceux où le congé a été supprimé, les fonctionnaires ou autres personnes autorisées ayant commencé avant le 1</w:t>
      </w:r>
      <w:r w:rsidRPr="0023297C">
        <w:rPr>
          <w:vertAlign w:val="superscript"/>
          <w:lang w:val="fr-FR"/>
        </w:rPr>
        <w:t>er</w:t>
      </w:r>
      <w:r w:rsidRPr="0023297C">
        <w:rPr>
          <w:lang w:val="fr-FR"/>
        </w:rPr>
        <w:t> juillet 2017 à accomplir une période de service donnant droit au congé de détente pourront en bénéficier à l</w:t>
      </w:r>
      <w:r w:rsidR="00DB38F2">
        <w:rPr>
          <w:lang w:val="fr-FR"/>
        </w:rPr>
        <w:t>’</w:t>
      </w:r>
      <w:r w:rsidRPr="0023297C">
        <w:rPr>
          <w:lang w:val="fr-FR"/>
        </w:rPr>
        <w:t>issue de la période qui donnait précédemment droit au congé. La nouvelle périodicité s</w:t>
      </w:r>
      <w:r w:rsidR="00DB38F2">
        <w:rPr>
          <w:lang w:val="fr-FR"/>
        </w:rPr>
        <w:t>’</w:t>
      </w:r>
      <w:r w:rsidRPr="0023297C">
        <w:rPr>
          <w:lang w:val="fr-FR"/>
        </w:rPr>
        <w:t>appliquera à compter de la date du retour au lieu d</w:t>
      </w:r>
      <w:r w:rsidR="00DB38F2">
        <w:rPr>
          <w:lang w:val="fr-FR"/>
        </w:rPr>
        <w:t>’</w:t>
      </w:r>
      <w:r w:rsidRPr="0023297C">
        <w:rPr>
          <w:lang w:val="fr-FR"/>
        </w:rPr>
        <w:t>affectation.</w:t>
      </w:r>
    </w:p>
    <w:p w:rsidR="0023297C" w:rsidRPr="0023297C" w:rsidRDefault="0023297C" w:rsidP="00B14337">
      <w:pPr>
        <w:pStyle w:val="SingleTxt"/>
        <w:numPr>
          <w:ilvl w:val="0"/>
          <w:numId w:val="17"/>
        </w:numPr>
        <w:spacing w:line="240" w:lineRule="exact"/>
        <w:ind w:left="1267"/>
        <w:rPr>
          <w:lang w:val="fr-FR"/>
        </w:rPr>
      </w:pPr>
      <w:r w:rsidRPr="0023297C">
        <w:rPr>
          <w:lang w:val="fr-FR"/>
        </w:rPr>
        <w:t>Si la sécurité et les conditions de vie et de travail s</w:t>
      </w:r>
      <w:r w:rsidR="00DB38F2">
        <w:rPr>
          <w:lang w:val="fr-FR"/>
        </w:rPr>
        <w:t>’</w:t>
      </w:r>
      <w:r w:rsidRPr="0023297C">
        <w:rPr>
          <w:lang w:val="fr-FR"/>
        </w:rPr>
        <w:t>améliorent ou se dégradent dans le courant de l</w:t>
      </w:r>
      <w:r w:rsidR="00DB38F2">
        <w:rPr>
          <w:lang w:val="fr-FR"/>
        </w:rPr>
        <w:t>’</w:t>
      </w:r>
      <w:r w:rsidRPr="0023297C">
        <w:rPr>
          <w:lang w:val="fr-FR"/>
        </w:rPr>
        <w:t>année dans un lieu d</w:t>
      </w:r>
      <w:r w:rsidR="00DB38F2">
        <w:rPr>
          <w:lang w:val="fr-FR"/>
        </w:rPr>
        <w:t>’</w:t>
      </w:r>
      <w:r w:rsidRPr="0023297C">
        <w:rPr>
          <w:lang w:val="fr-FR"/>
        </w:rPr>
        <w:t>affectation donné, le Bureau de la gestion des ressources humaines peut, à l</w:t>
      </w:r>
      <w:r w:rsidR="00DB38F2">
        <w:rPr>
          <w:lang w:val="fr-FR"/>
        </w:rPr>
        <w:t>’</w:t>
      </w:r>
      <w:r w:rsidRPr="0023297C">
        <w:rPr>
          <w:lang w:val="fr-FR"/>
        </w:rPr>
        <w:t xml:space="preserve">issue de consultations </w:t>
      </w:r>
      <w:proofErr w:type="spellStart"/>
      <w:r w:rsidRPr="0023297C">
        <w:rPr>
          <w:lang w:val="fr-FR"/>
        </w:rPr>
        <w:t>interinstitutions</w:t>
      </w:r>
      <w:proofErr w:type="spellEnd"/>
      <w:r w:rsidRPr="0023297C">
        <w:rPr>
          <w:lang w:val="fr-FR"/>
        </w:rPr>
        <w:t>, modifier la périodicité du congé. L</w:t>
      </w:r>
      <w:r w:rsidR="00DB38F2">
        <w:rPr>
          <w:lang w:val="fr-FR"/>
        </w:rPr>
        <w:t>’</w:t>
      </w:r>
      <w:r w:rsidRPr="0023297C">
        <w:rPr>
          <w:lang w:val="fr-FR"/>
        </w:rPr>
        <w:t>évolution notable des conditions qui règnent dans un lieu d</w:t>
      </w:r>
      <w:r w:rsidR="00DB38F2">
        <w:rPr>
          <w:lang w:val="fr-FR"/>
        </w:rPr>
        <w:t>’</w:t>
      </w:r>
      <w:r w:rsidRPr="0023297C">
        <w:rPr>
          <w:lang w:val="fr-FR"/>
        </w:rPr>
        <w:t>affectation peut également conduire à l</w:t>
      </w:r>
      <w:r w:rsidR="00DB38F2">
        <w:rPr>
          <w:lang w:val="fr-FR"/>
        </w:rPr>
        <w:t>’</w:t>
      </w:r>
      <w:r w:rsidRPr="0023297C">
        <w:rPr>
          <w:lang w:val="fr-FR"/>
        </w:rPr>
        <w:t>inscription de ce lieu sur la liste ou à sa radiation.</w:t>
      </w:r>
    </w:p>
    <w:p w:rsidR="00B14337" w:rsidRDefault="00B14337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B14337" w:rsidRPr="00B14337" w:rsidRDefault="00B14337" w:rsidP="00B1433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B14337">
        <w:rPr>
          <w:lang w:val="fr-FR"/>
        </w:rPr>
        <w:lastRenderedPageBreak/>
        <w:t xml:space="preserve">Annexe </w:t>
      </w:r>
    </w:p>
    <w:p w:rsidR="00B14337" w:rsidRPr="00B14337" w:rsidRDefault="00B14337" w:rsidP="00B14337">
      <w:pPr>
        <w:pStyle w:val="SingleTxt"/>
        <w:spacing w:after="0" w:line="120" w:lineRule="exact"/>
        <w:rPr>
          <w:sz w:val="10"/>
          <w:lang w:val="fr-FR"/>
        </w:rPr>
      </w:pPr>
    </w:p>
    <w:p w:rsidR="00B14337" w:rsidRPr="00B14337" w:rsidRDefault="00B14337" w:rsidP="00B143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14337">
        <w:rPr>
          <w:lang w:val="fr-FR"/>
        </w:rPr>
        <w:t>Liste des lieux d</w:t>
      </w:r>
      <w:r w:rsidR="00DB38F2">
        <w:rPr>
          <w:lang w:val="fr-FR"/>
        </w:rPr>
        <w:t>’</w:t>
      </w:r>
      <w:r w:rsidRPr="00B14337">
        <w:rPr>
          <w:lang w:val="fr-FR"/>
        </w:rPr>
        <w:t>affectation</w:t>
      </w:r>
      <w:r w:rsidRPr="00C43D46">
        <w:rPr>
          <w:b w:val="0"/>
          <w:sz w:val="20"/>
          <w:szCs w:val="20"/>
          <w:vertAlign w:val="superscript"/>
          <w:lang w:val="fr-FR"/>
        </w:rPr>
        <w:footnoteReference w:id="1"/>
      </w:r>
      <w:r w:rsidRPr="00B14337">
        <w:rPr>
          <w:lang w:val="fr-FR"/>
        </w:rPr>
        <w:t xml:space="preserve"> approuvés par le Bureau </w:t>
      </w:r>
      <w:r>
        <w:rPr>
          <w:lang w:val="fr-FR"/>
        </w:rPr>
        <w:br/>
      </w:r>
      <w:r w:rsidRPr="00B14337">
        <w:rPr>
          <w:lang w:val="fr-FR"/>
        </w:rPr>
        <w:t xml:space="preserve">de la gestion des ressources humaines aux fins du congé </w:t>
      </w:r>
      <w:r>
        <w:rPr>
          <w:lang w:val="fr-FR"/>
        </w:rPr>
        <w:br/>
      </w:r>
      <w:r w:rsidRPr="00B14337">
        <w:rPr>
          <w:lang w:val="fr-FR"/>
        </w:rPr>
        <w:t>de détente (au 1</w:t>
      </w:r>
      <w:r w:rsidRPr="00B14337">
        <w:rPr>
          <w:vertAlign w:val="superscript"/>
          <w:lang w:val="fr-FR"/>
        </w:rPr>
        <w:t>er</w:t>
      </w:r>
      <w:r w:rsidRPr="00B14337">
        <w:rPr>
          <w:lang w:val="fr-FR"/>
        </w:rPr>
        <w:t xml:space="preserve"> janvier 2017)</w:t>
      </w:r>
    </w:p>
    <w:p w:rsidR="0023297C" w:rsidRPr="00B14337" w:rsidRDefault="0023297C" w:rsidP="00B14337">
      <w:pPr>
        <w:pStyle w:val="SingleTxt"/>
        <w:spacing w:after="0" w:line="120" w:lineRule="exact"/>
        <w:rPr>
          <w:sz w:val="10"/>
          <w:lang w:val="fr-FR"/>
        </w:rPr>
      </w:pPr>
    </w:p>
    <w:p w:rsidR="00B14337" w:rsidRPr="00B14337" w:rsidRDefault="00B14337" w:rsidP="00B14337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8570" w:type="dxa"/>
        <w:tblInd w:w="1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9"/>
        <w:gridCol w:w="2079"/>
        <w:gridCol w:w="1908"/>
        <w:gridCol w:w="9"/>
      </w:tblGrid>
      <w:tr w:rsidR="00B14337" w:rsidRPr="00B14337" w:rsidTr="00A83F6E">
        <w:trPr>
          <w:gridAfter w:val="1"/>
          <w:wAfter w:w="9" w:type="dxa"/>
          <w:tblHeader/>
        </w:trPr>
        <w:tc>
          <w:tcPr>
            <w:tcW w:w="45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14337" w:rsidRPr="00B14337" w:rsidRDefault="00B14337" w:rsidP="00B14337">
            <w:pPr>
              <w:suppressAutoHyphens/>
              <w:spacing w:before="81" w:after="81" w:line="160" w:lineRule="exact"/>
              <w:ind w:right="40"/>
              <w:rPr>
                <w:i/>
                <w:sz w:val="14"/>
              </w:rPr>
            </w:pPr>
            <w:r w:rsidRPr="00B14337">
              <w:rPr>
                <w:i/>
                <w:sz w:val="14"/>
              </w:rPr>
              <w:t>Lieu d</w:t>
            </w:r>
            <w:r w:rsidR="00DB38F2">
              <w:rPr>
                <w:i/>
                <w:sz w:val="14"/>
              </w:rPr>
              <w:t>’</w:t>
            </w:r>
            <w:r w:rsidRPr="00B14337">
              <w:rPr>
                <w:i/>
                <w:sz w:val="14"/>
              </w:rPr>
              <w:t>affectation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14337" w:rsidRPr="00B14337" w:rsidRDefault="00B14337" w:rsidP="00A83F6E">
            <w:pPr>
              <w:suppressAutoHyphens/>
              <w:spacing w:before="81" w:after="81" w:line="160" w:lineRule="exact"/>
              <w:ind w:left="144" w:right="43"/>
              <w:rPr>
                <w:i/>
                <w:sz w:val="14"/>
              </w:rPr>
            </w:pPr>
            <w:r w:rsidRPr="00B14337">
              <w:rPr>
                <w:i/>
                <w:sz w:val="14"/>
              </w:rPr>
              <w:t>Périodicité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14337" w:rsidRPr="00B14337" w:rsidRDefault="00B14337" w:rsidP="00B14337">
            <w:pPr>
              <w:suppressAutoHyphens/>
              <w:spacing w:before="81" w:after="81" w:line="160" w:lineRule="exact"/>
              <w:ind w:left="144" w:right="43"/>
              <w:rPr>
                <w:i/>
                <w:sz w:val="14"/>
              </w:rPr>
            </w:pPr>
            <w:r w:rsidRPr="00B14337">
              <w:rPr>
                <w:i/>
                <w:sz w:val="14"/>
              </w:rPr>
              <w:t>Localité désignée aux fins du congé</w:t>
            </w:r>
          </w:p>
        </w:tc>
      </w:tr>
      <w:tr w:rsidR="00B14337" w:rsidRPr="00B14337" w:rsidTr="00A83F6E">
        <w:trPr>
          <w:gridAfter w:val="1"/>
          <w:wAfter w:w="9" w:type="dxa"/>
          <w:trHeight w:hRule="exact" w:val="115"/>
          <w:tblHeader/>
        </w:trPr>
        <w:tc>
          <w:tcPr>
            <w:tcW w:w="457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14337" w:rsidRPr="00B14337" w:rsidRDefault="00B14337" w:rsidP="00B14337">
            <w:pPr>
              <w:suppressAutoHyphens/>
              <w:spacing w:before="40" w:after="80"/>
              <w:ind w:right="40"/>
            </w:pPr>
          </w:p>
        </w:tc>
        <w:tc>
          <w:tcPr>
            <w:tcW w:w="20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14337" w:rsidRPr="00B14337" w:rsidRDefault="00B14337" w:rsidP="00B14337">
            <w:pPr>
              <w:suppressAutoHyphens/>
              <w:spacing w:before="40" w:after="80"/>
              <w:ind w:left="144" w:right="43"/>
            </w:pPr>
          </w:p>
        </w:tc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14337" w:rsidRPr="00B14337" w:rsidRDefault="00B14337" w:rsidP="00B14337">
            <w:pPr>
              <w:suppressAutoHyphens/>
              <w:spacing w:before="40" w:after="80"/>
              <w:ind w:left="144" w:right="43"/>
            </w:pPr>
          </w:p>
        </w:tc>
      </w:tr>
      <w:tr w:rsidR="00A83F6E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B14337">
              <w:rPr>
                <w:b/>
              </w:rPr>
              <w:t>Afghanistan</w:t>
            </w:r>
          </w:p>
        </w:tc>
        <w:tc>
          <w:tcPr>
            <w:tcW w:w="2079" w:type="dxa"/>
            <w:shd w:val="clear" w:color="auto" w:fill="auto"/>
          </w:tcPr>
          <w:p w:rsidR="00B14337" w:rsidRPr="00B14337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908" w:type="dxa"/>
            <w:shd w:val="clear" w:color="auto" w:fill="auto"/>
          </w:tcPr>
          <w:p w:rsidR="00B14337" w:rsidRPr="00B14337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Tout le pays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Doubaï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B14337">
              <w:rPr>
                <w:b/>
              </w:rPr>
              <w:t>Algérie</w:t>
            </w:r>
          </w:p>
        </w:tc>
        <w:tc>
          <w:tcPr>
            <w:tcW w:w="2079" w:type="dxa"/>
            <w:shd w:val="clear" w:color="auto" w:fill="auto"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908" w:type="dxa"/>
            <w:shd w:val="clear" w:color="auto" w:fill="auto"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Tindouf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Alger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B14337">
              <w:rPr>
                <w:b/>
              </w:rPr>
              <w:t>Burkina Faso</w:t>
            </w:r>
          </w:p>
        </w:tc>
        <w:tc>
          <w:tcPr>
            <w:tcW w:w="2079" w:type="dxa"/>
            <w:shd w:val="clear" w:color="auto" w:fill="auto"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908" w:type="dxa"/>
            <w:shd w:val="clear" w:color="auto" w:fill="auto"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Djibo, Dori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 xml:space="preserve">Ouagadougou 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4441C0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4441C0">
              <w:rPr>
                <w:b/>
              </w:rPr>
              <w:t>Burundi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83F6E" w:rsidRPr="00B14337" w:rsidTr="00A43EC1">
        <w:tc>
          <w:tcPr>
            <w:tcW w:w="4565" w:type="dxa"/>
            <w:shd w:val="clear" w:color="auto" w:fill="auto"/>
          </w:tcPr>
          <w:p w:rsidR="00A83F6E" w:rsidRPr="00B14337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Bujumbura, Gitega, </w:t>
            </w:r>
            <w:proofErr w:type="spellStart"/>
            <w:r w:rsidRPr="00B14337">
              <w:t>Makamba</w:t>
            </w:r>
            <w:proofErr w:type="spellEnd"/>
            <w:r w:rsidRPr="00B14337">
              <w:t>, Ngozi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A83F6E" w:rsidRPr="00B14337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A83F6E" w:rsidRPr="00B14337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Nairobi</w:t>
            </w:r>
          </w:p>
        </w:tc>
      </w:tr>
      <w:tr w:rsidR="00A83F6E" w:rsidRPr="00A83F6E" w:rsidTr="00A43EC1">
        <w:tc>
          <w:tcPr>
            <w:tcW w:w="4565" w:type="dxa"/>
            <w:shd w:val="clear" w:color="auto" w:fill="auto"/>
            <w:hideMark/>
          </w:tcPr>
          <w:p w:rsidR="00A83F6E" w:rsidRPr="00A83F6E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Cameroun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A83F6E" w:rsidRPr="00A83F6E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A83F6E" w:rsidRPr="00A83F6E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83F6E" w:rsidRPr="00B14337" w:rsidTr="00A43EC1">
        <w:tc>
          <w:tcPr>
            <w:tcW w:w="4565" w:type="dxa"/>
            <w:shd w:val="clear" w:color="auto" w:fill="auto"/>
          </w:tcPr>
          <w:p w:rsidR="00A83F6E" w:rsidRPr="00B14337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Maroua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A83F6E" w:rsidRPr="00B14337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A83F6E" w:rsidRPr="00B14337" w:rsidRDefault="00A83F6E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Yaoundé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Cisjordanie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83F6E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Ramallah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Amman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Côte d</w:t>
            </w:r>
            <w:r w:rsidR="00DB38F2">
              <w:rPr>
                <w:b/>
              </w:rPr>
              <w:t>’</w:t>
            </w:r>
            <w:r w:rsidRPr="00A83F6E">
              <w:rPr>
                <w:b/>
              </w:rPr>
              <w:t>Ivoire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83F6E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Tout le pays sauf Abidjan et Yamoussoukro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Accra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Éthiopie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83F6E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Kebridehar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Addis-Abeba</w:t>
            </w:r>
          </w:p>
        </w:tc>
      </w:tr>
      <w:tr w:rsidR="00A83F6E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Jijiga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Addis-Abeba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Gaza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83F6E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Gaza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Amman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Golan syrien occupé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Golan syrien occupé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Amman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Guinée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Nzérékoré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 xml:space="preserve">12 semaines 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 xml:space="preserve">Accra 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Haïti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Tout le pays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Saint-Domingue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lastRenderedPageBreak/>
              <w:t>Iraq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Bagdad, Kirkouk, Mossoul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4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Amman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Bassorah, </w:t>
            </w:r>
            <w:proofErr w:type="spellStart"/>
            <w:r w:rsidRPr="00B14337">
              <w:t>Dohouk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ED33A3">
            <w:pPr>
              <w:keepNext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Amman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Erbil, </w:t>
            </w:r>
            <w:proofErr w:type="spellStart"/>
            <w:r w:rsidRPr="00B14337">
              <w:t>Souleimaniyé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Amman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Kenya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Dadaab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Liboi</w:t>
            </w:r>
            <w:proofErr w:type="spellEnd"/>
            <w:r w:rsidRPr="00B14337">
              <w:t>, Wajir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Nairobi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Kakuma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Nairobi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Kirghizistan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Och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Istanbul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Libéria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Tout le pays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Accra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Libye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Tout le pays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Malte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Mali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Gao, Kidal, Ménaka, Tessalit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4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Dakar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Mopti, Tombouctou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Dakar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Bamako, Kayes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Dakar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Myanmar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Sittwe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Yangon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Lashio</w:t>
            </w:r>
            <w:proofErr w:type="spellEnd"/>
            <w:r w:rsidRPr="00B14337">
              <w:t xml:space="preserve">, Myitkyina (État de Kachin)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Yangon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Niger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Agadez, Diffa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 xml:space="preserve">6 semaines 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 xml:space="preserve">Niamey 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Maradi, Tahoua, Zinder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Niamey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Nigéria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Damaturi</w:t>
            </w:r>
            <w:proofErr w:type="spellEnd"/>
            <w:r w:rsidRPr="00B14337">
              <w:t>, Maiduguri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Accra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Bauchi, Gombe, Kaduna, Yola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Accra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Ouganda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Moroto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Kampala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Kitgum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Kampala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Pakistan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Peshawar, Quetta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Doubaï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Islamabad, Karachi, Lahore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Doubaï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lastRenderedPageBreak/>
              <w:t>Papouasie-Nouvelle-Guinée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Port Moresby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Brisbane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Philippines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E13E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Cotabato City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Manille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Cateel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Guiuan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Manille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République arabe syrienne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Tout le pays (sauf le secteur Alpha de la zone d</w:t>
            </w:r>
            <w:r w:rsidR="00DB38F2">
              <w:t>’</w:t>
            </w:r>
            <w:r w:rsidRPr="00B14337">
              <w:t>opérations de la Force des Nations Unies chargée d</w:t>
            </w:r>
            <w:r w:rsidR="00DB38F2">
              <w:t>’</w:t>
            </w:r>
            <w:r w:rsidRPr="00B14337">
              <w:t>observer le désengagement)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4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Amman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République centrafricaine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Tout le pays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Yaoundé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République démocratique du Congo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Aru</w:t>
            </w:r>
            <w:proofErr w:type="spellEnd"/>
            <w:r w:rsidRPr="00B14337">
              <w:t xml:space="preserve">, Beni, </w:t>
            </w:r>
            <w:proofErr w:type="spellStart"/>
            <w:r w:rsidRPr="00B14337">
              <w:t>Bili</w:t>
            </w:r>
            <w:proofErr w:type="spellEnd"/>
            <w:r w:rsidRPr="00B14337">
              <w:t xml:space="preserve">, Bunia, </w:t>
            </w:r>
            <w:proofErr w:type="spellStart"/>
            <w:r w:rsidRPr="00B14337">
              <w:t>Butembo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Dungu</w:t>
            </w:r>
            <w:proofErr w:type="spellEnd"/>
            <w:r w:rsidRPr="00B14337">
              <w:t xml:space="preserve">, Kalemie, </w:t>
            </w:r>
            <w:proofErr w:type="spellStart"/>
            <w:r w:rsidRPr="00B14337">
              <w:t>Mahagi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Mboko</w:t>
            </w:r>
            <w:proofErr w:type="spellEnd"/>
            <w:r w:rsidRPr="00B14337">
              <w:t>, Uvira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Entebbe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Bandundu, Bukavu, Gemena, Goma, Kamina, Kananga, Kindu, Kisangani, Matadi, Mbandaka, Mbuji-Mayi</w:t>
            </w:r>
            <w:r w:rsidR="00E13E17">
              <w:t xml:space="preserve">, </w:t>
            </w:r>
            <w:proofErr w:type="spellStart"/>
            <w:r w:rsidR="00E13E17">
              <w:t>Muanda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Entebbe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Lubumbashi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Entebbe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République populaire démocratique de Corée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Pyongyang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Beijing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Sierra Leone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Tout le pays, sauf Freetown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Accra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Somalie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Baidoa</w:t>
            </w:r>
            <w:proofErr w:type="spellEnd"/>
            <w:r w:rsidRPr="00B14337">
              <w:t xml:space="preserve">, Beledweyne, Boosaaso, Dolo, Gaalkacyo, </w:t>
            </w:r>
            <w:proofErr w:type="spellStart"/>
            <w:r w:rsidRPr="00B14337">
              <w:t>Garowe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Johar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Kismayo</w:t>
            </w:r>
            <w:proofErr w:type="spellEnd"/>
            <w:r w:rsidRPr="00B14337">
              <w:t xml:space="preserve">, Mogadiscio, </w:t>
            </w:r>
            <w:proofErr w:type="spellStart"/>
            <w:r w:rsidRPr="00B14337">
              <w:t>Wajid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4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Nairobi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>Hargeisa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Nairobi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Soudan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Abyei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Bouram</w:t>
            </w:r>
            <w:proofErr w:type="spellEnd"/>
            <w:r w:rsidRPr="00B14337">
              <w:t xml:space="preserve"> (Darfour méridional), Al </w:t>
            </w:r>
            <w:proofErr w:type="spellStart"/>
            <w:r w:rsidRPr="00B14337">
              <w:t>Daein</w:t>
            </w:r>
            <w:proofErr w:type="spellEnd"/>
            <w:r w:rsidRPr="00B14337">
              <w:t> (Darfour), Al-</w:t>
            </w:r>
            <w:proofErr w:type="spellStart"/>
            <w:r w:rsidRPr="00B14337">
              <w:t>Fasher</w:t>
            </w:r>
            <w:proofErr w:type="spellEnd"/>
            <w:r w:rsidRPr="00B14337">
              <w:t xml:space="preserve"> (Darfour), Al </w:t>
            </w:r>
            <w:proofErr w:type="spellStart"/>
            <w:r w:rsidRPr="00B14337">
              <w:t>Geneina</w:t>
            </w:r>
            <w:proofErr w:type="spellEnd"/>
            <w:r w:rsidRPr="00B14337">
              <w:t xml:space="preserve"> (Darfour), </w:t>
            </w:r>
            <w:proofErr w:type="spellStart"/>
            <w:r w:rsidRPr="00B14337">
              <w:t>Foro</w:t>
            </w:r>
            <w:proofErr w:type="spellEnd"/>
            <w:r w:rsidRPr="00B14337">
              <w:t xml:space="preserve"> </w:t>
            </w:r>
            <w:proofErr w:type="spellStart"/>
            <w:r w:rsidRPr="00B14337">
              <w:t>Burunga</w:t>
            </w:r>
            <w:proofErr w:type="spellEnd"/>
            <w:r w:rsidRPr="00B14337">
              <w:t xml:space="preserve"> (Darfour occidental), </w:t>
            </w:r>
            <w:proofErr w:type="spellStart"/>
            <w:r w:rsidRPr="00B14337">
              <w:t>Gereida</w:t>
            </w:r>
            <w:proofErr w:type="spellEnd"/>
            <w:r w:rsidRPr="00B14337">
              <w:t xml:space="preserve"> (Darfour méridional), </w:t>
            </w:r>
            <w:proofErr w:type="spellStart"/>
            <w:r w:rsidRPr="00B14337">
              <w:t>Habila</w:t>
            </w:r>
            <w:proofErr w:type="spellEnd"/>
            <w:r w:rsidRPr="00B14337">
              <w:t xml:space="preserve"> (Darfour occidental), </w:t>
            </w:r>
            <w:proofErr w:type="spellStart"/>
            <w:r w:rsidRPr="00B14337">
              <w:t>Kabkabiya</w:t>
            </w:r>
            <w:proofErr w:type="spellEnd"/>
            <w:r w:rsidRPr="00B14337">
              <w:t xml:space="preserve"> (Darfour), </w:t>
            </w:r>
            <w:proofErr w:type="spellStart"/>
            <w:r w:rsidRPr="00B14337">
              <w:t>Kadougli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Kass</w:t>
            </w:r>
            <w:proofErr w:type="spellEnd"/>
            <w:r w:rsidRPr="00B14337">
              <w:t xml:space="preserve"> (Darfour), Khor Abéché (Darfour méridional), Khor Omer, Korma, </w:t>
            </w:r>
            <w:proofErr w:type="spellStart"/>
            <w:r w:rsidRPr="00B14337">
              <w:t>Koutoum</w:t>
            </w:r>
            <w:proofErr w:type="spellEnd"/>
            <w:r w:rsidRPr="00B14337">
              <w:t xml:space="preserve"> (Darfour), </w:t>
            </w:r>
            <w:proofErr w:type="spellStart"/>
            <w:r w:rsidRPr="00B14337">
              <w:t>Labado</w:t>
            </w:r>
            <w:proofErr w:type="spellEnd"/>
            <w:r w:rsidRPr="00B14337">
              <w:t xml:space="preserve"> (Darfour méridional), </w:t>
            </w:r>
            <w:proofErr w:type="spellStart"/>
            <w:r w:rsidRPr="00B14337">
              <w:t>Malha</w:t>
            </w:r>
            <w:proofErr w:type="spellEnd"/>
            <w:r w:rsidRPr="00B14337">
              <w:t xml:space="preserve"> (Darfour septentrional), </w:t>
            </w:r>
            <w:proofErr w:type="spellStart"/>
            <w:r w:rsidRPr="00B14337">
              <w:t>Mallit</w:t>
            </w:r>
            <w:proofErr w:type="spellEnd"/>
            <w:r w:rsidRPr="00B14337">
              <w:t xml:space="preserve"> (Darfour septentrional), </w:t>
            </w:r>
            <w:proofErr w:type="spellStart"/>
            <w:r w:rsidRPr="00B14337">
              <w:t>Masteri</w:t>
            </w:r>
            <w:proofErr w:type="spellEnd"/>
            <w:r w:rsidRPr="00B14337">
              <w:t xml:space="preserve"> (Darfour occidental), </w:t>
            </w:r>
            <w:proofErr w:type="spellStart"/>
            <w:r w:rsidRPr="00B14337">
              <w:t>Morni</w:t>
            </w:r>
            <w:proofErr w:type="spellEnd"/>
            <w:r w:rsidRPr="00B14337">
              <w:t xml:space="preserve"> </w:t>
            </w:r>
            <w:r w:rsidRPr="00B14337">
              <w:lastRenderedPageBreak/>
              <w:t xml:space="preserve">(Darfour occidental), </w:t>
            </w:r>
            <w:proofErr w:type="spellStart"/>
            <w:r w:rsidRPr="00B14337">
              <w:t>Mouglad</w:t>
            </w:r>
            <w:proofErr w:type="spellEnd"/>
            <w:r w:rsidRPr="00B14337">
              <w:t xml:space="preserve"> (Kordofan méridional), </w:t>
            </w:r>
            <w:proofErr w:type="spellStart"/>
            <w:r w:rsidRPr="00B14337">
              <w:t>Mouhajeriya</w:t>
            </w:r>
            <w:proofErr w:type="spellEnd"/>
            <w:r w:rsidRPr="00B14337">
              <w:t xml:space="preserve"> (Darfour occidental), </w:t>
            </w:r>
            <w:proofErr w:type="spellStart"/>
            <w:r w:rsidRPr="00B14337">
              <w:t>Moukjar</w:t>
            </w:r>
            <w:proofErr w:type="spellEnd"/>
            <w:r w:rsidRPr="00B14337">
              <w:t xml:space="preserve"> (Darfour), </w:t>
            </w:r>
            <w:proofErr w:type="spellStart"/>
            <w:r w:rsidRPr="00B14337">
              <w:t>Nertiti</w:t>
            </w:r>
            <w:proofErr w:type="spellEnd"/>
            <w:r w:rsidRPr="00B14337">
              <w:t xml:space="preserve"> (Darfour occidental), Nyala (Darfour), </w:t>
            </w:r>
            <w:proofErr w:type="spellStart"/>
            <w:r w:rsidRPr="00B14337">
              <w:t>Saraf</w:t>
            </w:r>
            <w:proofErr w:type="spellEnd"/>
            <w:r w:rsidRPr="00B14337">
              <w:t> </w:t>
            </w:r>
            <w:proofErr w:type="spellStart"/>
            <w:r w:rsidRPr="00B14337">
              <w:t>Omra</w:t>
            </w:r>
            <w:proofErr w:type="spellEnd"/>
            <w:r w:rsidRPr="00B14337">
              <w:t xml:space="preserve">/Oumra (Darfour septentrional), </w:t>
            </w:r>
            <w:proofErr w:type="spellStart"/>
            <w:r w:rsidRPr="00B14337">
              <w:t>Changel-Tobaya</w:t>
            </w:r>
            <w:proofErr w:type="spellEnd"/>
            <w:r w:rsidRPr="00B14337">
              <w:t xml:space="preserve"> (Darfour septentrional), </w:t>
            </w:r>
            <w:proofErr w:type="spellStart"/>
            <w:r w:rsidRPr="00B14337">
              <w:t>Cheiria</w:t>
            </w:r>
            <w:proofErr w:type="spellEnd"/>
            <w:r w:rsidRPr="00B14337">
              <w:t> (Darfour méridional), Tawil (</w:t>
            </w:r>
            <w:proofErr w:type="spellStart"/>
            <w:r w:rsidRPr="00B14337">
              <w:t>Tawila</w:t>
            </w:r>
            <w:proofErr w:type="spellEnd"/>
            <w:r w:rsidRPr="00B14337">
              <w:t>) (Darfour septentrional), Tine (Darfour occidental), Oum Baro (Darfour occidental), Oum </w:t>
            </w:r>
            <w:proofErr w:type="spellStart"/>
            <w:r w:rsidRPr="00B14337">
              <w:t>Kaddada</w:t>
            </w:r>
            <w:proofErr w:type="spellEnd"/>
            <w:r w:rsidRPr="00B14337">
              <w:t xml:space="preserve"> (Darfour septentrional), </w:t>
            </w:r>
            <w:proofErr w:type="spellStart"/>
            <w:r w:rsidRPr="00B14337">
              <w:t>Zalingei</w:t>
            </w:r>
            <w:proofErr w:type="spellEnd"/>
            <w:r w:rsidRPr="00B14337">
              <w:t xml:space="preserve"> (Darfour), </w:t>
            </w:r>
            <w:proofErr w:type="spellStart"/>
            <w:r w:rsidRPr="00B14337">
              <w:t>Zam</w:t>
            </w:r>
            <w:proofErr w:type="spellEnd"/>
            <w:r w:rsidRPr="00B14337">
              <w:t xml:space="preserve"> </w:t>
            </w:r>
            <w:proofErr w:type="spellStart"/>
            <w:r w:rsidRPr="00B14337">
              <w:t>Zam</w:t>
            </w:r>
            <w:proofErr w:type="spellEnd"/>
            <w:r w:rsidRPr="00B14337">
              <w:t xml:space="preserve"> (Darfour septentrional)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lastRenderedPageBreak/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Entebbe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Damazin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Entebbe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Soudan du Sud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n-GB"/>
              </w:rPr>
            </w:pPr>
            <w:r w:rsidRPr="00A83F6E">
              <w:rPr>
                <w:lang w:val="en-GB"/>
              </w:rPr>
              <w:t xml:space="preserve">Aweil, </w:t>
            </w:r>
            <w:proofErr w:type="spellStart"/>
            <w:r w:rsidRPr="00A83F6E">
              <w:rPr>
                <w:lang w:val="en-GB"/>
              </w:rPr>
              <w:t>Bentiu</w:t>
            </w:r>
            <w:proofErr w:type="spellEnd"/>
            <w:r w:rsidRPr="00A83F6E">
              <w:rPr>
                <w:lang w:val="en-GB"/>
              </w:rPr>
              <w:t xml:space="preserve">, </w:t>
            </w:r>
            <w:proofErr w:type="spellStart"/>
            <w:r w:rsidRPr="00A83F6E">
              <w:rPr>
                <w:lang w:val="en-GB"/>
              </w:rPr>
              <w:t>Bor</w:t>
            </w:r>
            <w:proofErr w:type="spellEnd"/>
            <w:r w:rsidRPr="00A83F6E">
              <w:rPr>
                <w:lang w:val="en-GB"/>
              </w:rPr>
              <w:t xml:space="preserve">, </w:t>
            </w:r>
            <w:proofErr w:type="spellStart"/>
            <w:r w:rsidRPr="00A83F6E">
              <w:rPr>
                <w:lang w:val="en-GB"/>
              </w:rPr>
              <w:t>Gok</w:t>
            </w:r>
            <w:proofErr w:type="spellEnd"/>
            <w:r w:rsidRPr="00A83F6E">
              <w:rPr>
                <w:lang w:val="en-GB"/>
              </w:rPr>
              <w:t xml:space="preserve"> Machar, </w:t>
            </w:r>
            <w:proofErr w:type="spellStart"/>
            <w:r w:rsidRPr="00A83F6E">
              <w:rPr>
                <w:lang w:val="en-GB"/>
              </w:rPr>
              <w:t>Djouba</w:t>
            </w:r>
            <w:proofErr w:type="spellEnd"/>
            <w:r w:rsidRPr="00A83F6E">
              <w:rPr>
                <w:lang w:val="en-GB"/>
              </w:rPr>
              <w:t xml:space="preserve">, Kapoeta, </w:t>
            </w:r>
            <w:proofErr w:type="spellStart"/>
            <w:r w:rsidRPr="00A83F6E">
              <w:rPr>
                <w:lang w:val="en-GB"/>
              </w:rPr>
              <w:t>Kwacjok</w:t>
            </w:r>
            <w:proofErr w:type="spellEnd"/>
            <w:r w:rsidRPr="00A83F6E">
              <w:rPr>
                <w:lang w:val="en-GB"/>
              </w:rPr>
              <w:t xml:space="preserve">, Malakal, </w:t>
            </w:r>
            <w:proofErr w:type="spellStart"/>
            <w:r w:rsidRPr="00A83F6E">
              <w:rPr>
                <w:lang w:val="en-GB"/>
              </w:rPr>
              <w:t>Melut</w:t>
            </w:r>
            <w:proofErr w:type="spellEnd"/>
            <w:r w:rsidRPr="00A83F6E">
              <w:rPr>
                <w:lang w:val="en-GB"/>
              </w:rPr>
              <w:t xml:space="preserve">, </w:t>
            </w:r>
            <w:proofErr w:type="spellStart"/>
            <w:r w:rsidRPr="00A83F6E">
              <w:rPr>
                <w:lang w:val="en-GB"/>
              </w:rPr>
              <w:t>Mingkaman</w:t>
            </w:r>
            <w:proofErr w:type="spellEnd"/>
            <w:r w:rsidRPr="00A83F6E">
              <w:rPr>
                <w:lang w:val="en-GB"/>
              </w:rPr>
              <w:t xml:space="preserve">, Pibor, </w:t>
            </w:r>
            <w:proofErr w:type="spellStart"/>
            <w:r w:rsidRPr="00A83F6E">
              <w:rPr>
                <w:lang w:val="en-GB"/>
              </w:rPr>
              <w:t>Roumbek</w:t>
            </w:r>
            <w:proofErr w:type="spellEnd"/>
            <w:r w:rsidRPr="00A83F6E">
              <w:rPr>
                <w:lang w:val="en-GB"/>
              </w:rPr>
              <w:t xml:space="preserve">, Torit, </w:t>
            </w:r>
            <w:proofErr w:type="spellStart"/>
            <w:r w:rsidRPr="00A83F6E">
              <w:rPr>
                <w:lang w:val="en-GB"/>
              </w:rPr>
              <w:t>Wau</w:t>
            </w:r>
            <w:proofErr w:type="spellEnd"/>
            <w:r w:rsidRPr="00A83F6E">
              <w:rPr>
                <w:lang w:val="en-GB"/>
              </w:rPr>
              <w:t xml:space="preserve">, </w:t>
            </w:r>
            <w:proofErr w:type="spellStart"/>
            <w:r w:rsidRPr="00A83F6E">
              <w:rPr>
                <w:lang w:val="en-GB"/>
              </w:rPr>
              <w:t>Yirol</w:t>
            </w:r>
            <w:proofErr w:type="spellEnd"/>
            <w:r w:rsidRPr="00A83F6E">
              <w:rPr>
                <w:lang w:val="en-GB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Entebbe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Yambio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Entebbe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Sri Lanka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Kilinochchi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12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Colombo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Tchad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B14337">
              <w:t>Baga</w:t>
            </w:r>
            <w:proofErr w:type="spellEnd"/>
            <w:r w:rsidRPr="00B14337">
              <w:t xml:space="preserve"> Sola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Addis-Abeba</w:t>
            </w: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Abéché, </w:t>
            </w:r>
            <w:proofErr w:type="spellStart"/>
            <w:r w:rsidRPr="00B14337">
              <w:t>Farchana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Goré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Gozbeida</w:t>
            </w:r>
            <w:proofErr w:type="spellEnd"/>
            <w:r w:rsidRPr="00B14337">
              <w:t>, Mao, N</w:t>
            </w:r>
            <w:r w:rsidR="00DB38F2">
              <w:t>’</w:t>
            </w:r>
            <w:r w:rsidRPr="00B14337">
              <w:t>Djamena, Sarh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Addis-Abeba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Ukraine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n-GB"/>
              </w:rPr>
            </w:pPr>
            <w:r w:rsidRPr="00A83F6E">
              <w:rPr>
                <w:lang w:val="en-GB"/>
              </w:rPr>
              <w:t xml:space="preserve">Donetsk, Kramatorsk, </w:t>
            </w:r>
            <w:proofErr w:type="spellStart"/>
            <w:r w:rsidRPr="00A83F6E">
              <w:rPr>
                <w:lang w:val="en-GB"/>
              </w:rPr>
              <w:t>Lougansk</w:t>
            </w:r>
            <w:proofErr w:type="spellEnd"/>
            <w:r w:rsidRPr="00A83F6E">
              <w:rPr>
                <w:lang w:val="en-GB"/>
              </w:rPr>
              <w:t xml:space="preserve">, </w:t>
            </w:r>
            <w:proofErr w:type="spellStart"/>
            <w:r w:rsidRPr="00A83F6E">
              <w:rPr>
                <w:lang w:val="en-GB"/>
              </w:rPr>
              <w:t>Marioupol</w:t>
            </w:r>
            <w:proofErr w:type="spellEnd"/>
            <w:r w:rsidRPr="00A83F6E">
              <w:rPr>
                <w:lang w:val="en-GB"/>
              </w:rPr>
              <w:t xml:space="preserve">, </w:t>
            </w:r>
            <w:proofErr w:type="spellStart"/>
            <w:r w:rsidRPr="00A83F6E">
              <w:rPr>
                <w:lang w:val="en-GB"/>
              </w:rPr>
              <w:t>Severodonetsk</w:t>
            </w:r>
            <w:proofErr w:type="spellEnd"/>
            <w:r w:rsidRPr="00A83F6E">
              <w:rPr>
                <w:lang w:val="en-GB"/>
              </w:rPr>
              <w:t xml:space="preserve">, Sloviansk </w:t>
            </w:r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8 semaines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Kiev</w:t>
            </w:r>
          </w:p>
        </w:tc>
      </w:tr>
      <w:tr w:rsidR="00A83F6E" w:rsidRPr="00A83F6E" w:rsidTr="00A43EC1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A83F6E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A83F6E">
              <w:rPr>
                <w:b/>
              </w:rPr>
              <w:t>Yémen</w:t>
            </w:r>
          </w:p>
        </w:tc>
        <w:tc>
          <w:tcPr>
            <w:tcW w:w="2079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B14337" w:rsidRPr="00A83F6E" w:rsidRDefault="00B14337" w:rsidP="00A83F6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</w:p>
        </w:tc>
      </w:tr>
      <w:tr w:rsidR="00A43EC1" w:rsidRPr="00B14337" w:rsidTr="00E13E17">
        <w:trPr>
          <w:gridAfter w:val="1"/>
          <w:wAfter w:w="9" w:type="dxa"/>
        </w:trPr>
        <w:tc>
          <w:tcPr>
            <w:tcW w:w="4574" w:type="dxa"/>
            <w:gridSpan w:val="2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Saada, Sanaa, </w:t>
            </w:r>
            <w:proofErr w:type="spellStart"/>
            <w:r w:rsidRPr="00B14337">
              <w:t>Ebb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 xml:space="preserve">4 semaines </w:t>
            </w:r>
          </w:p>
        </w:tc>
        <w:tc>
          <w:tcPr>
            <w:tcW w:w="1908" w:type="dxa"/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 xml:space="preserve">Larnaka </w:t>
            </w:r>
          </w:p>
        </w:tc>
      </w:tr>
      <w:tr w:rsidR="00A83F6E" w:rsidRPr="00B14337" w:rsidTr="00E13E17">
        <w:trPr>
          <w:gridAfter w:val="1"/>
          <w:wAfter w:w="9" w:type="dxa"/>
        </w:trPr>
        <w:tc>
          <w:tcPr>
            <w:tcW w:w="4574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14337">
              <w:t xml:space="preserve">Aden, </w:t>
            </w:r>
            <w:proofErr w:type="spellStart"/>
            <w:r w:rsidRPr="00B14337">
              <w:t>Harad</w:t>
            </w:r>
            <w:proofErr w:type="spellEnd"/>
            <w:r w:rsidRPr="00B14337">
              <w:t xml:space="preserve">, </w:t>
            </w:r>
            <w:proofErr w:type="spellStart"/>
            <w:r w:rsidRPr="00B14337">
              <w:t>Taiz</w:t>
            </w:r>
            <w:proofErr w:type="spellEnd"/>
          </w:p>
        </w:tc>
        <w:tc>
          <w:tcPr>
            <w:tcW w:w="207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6 semaines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14337" w:rsidRPr="00B14337" w:rsidRDefault="00B14337" w:rsidP="00B143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B14337">
              <w:t>Larnaka</w:t>
            </w:r>
          </w:p>
        </w:tc>
      </w:tr>
    </w:tbl>
    <w:p w:rsidR="00B14337" w:rsidRPr="00DB38F2" w:rsidRDefault="00DB38F2" w:rsidP="00DB38F2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598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B14337" w:rsidRPr="00DB38F2" w:rsidSect="00507C24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24" w:rsidRDefault="00507C24" w:rsidP="00507C24">
      <w:pPr>
        <w:spacing w:line="240" w:lineRule="auto"/>
      </w:pPr>
      <w:r>
        <w:separator/>
      </w:r>
    </w:p>
  </w:endnote>
  <w:endnote w:type="continuationSeparator" w:id="0">
    <w:p w:rsidR="00507C24" w:rsidRDefault="00507C24" w:rsidP="00507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07C24" w:rsidTr="00507C24">
      <w:tc>
        <w:tcPr>
          <w:tcW w:w="5028" w:type="dxa"/>
          <w:shd w:val="clear" w:color="auto" w:fill="auto"/>
        </w:tcPr>
        <w:p w:rsidR="00507C24" w:rsidRPr="00507C24" w:rsidRDefault="00507C24" w:rsidP="00507C2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E17CD">
            <w:rPr>
              <w:b w:val="0"/>
              <w:w w:val="103"/>
              <w:sz w:val="14"/>
            </w:rPr>
            <w:t>17-01761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07C24" w:rsidRPr="00507C24" w:rsidRDefault="00507C24" w:rsidP="00507C2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23C2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23C2E">
            <w:rPr>
              <w:noProof/>
              <w:w w:val="103"/>
            </w:rPr>
            <w:t>5</w:t>
          </w:r>
          <w:r>
            <w:rPr>
              <w:w w:val="103"/>
            </w:rPr>
            <w:fldChar w:fldCharType="end"/>
          </w:r>
        </w:p>
      </w:tc>
    </w:tr>
  </w:tbl>
  <w:p w:rsidR="00507C24" w:rsidRPr="00507C24" w:rsidRDefault="00507C24" w:rsidP="00507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07C24" w:rsidTr="00507C24">
      <w:tc>
        <w:tcPr>
          <w:tcW w:w="5028" w:type="dxa"/>
          <w:shd w:val="clear" w:color="auto" w:fill="auto"/>
        </w:tcPr>
        <w:p w:rsidR="00507C24" w:rsidRPr="00507C24" w:rsidRDefault="00507C24" w:rsidP="00507C2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23C2E">
            <w:rPr>
              <w:noProof/>
              <w:w w:val="103"/>
            </w:rPr>
            <w:t>5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23C2E">
            <w:rPr>
              <w:noProof/>
              <w:w w:val="103"/>
            </w:rPr>
            <w:t>5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07C24" w:rsidRPr="00507C24" w:rsidRDefault="00507C24" w:rsidP="00507C2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E17CD">
            <w:rPr>
              <w:b w:val="0"/>
              <w:w w:val="103"/>
              <w:sz w:val="14"/>
            </w:rPr>
            <w:t>17-01761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07C24" w:rsidRPr="00507C24" w:rsidRDefault="00507C24" w:rsidP="00507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24" w:rsidRDefault="00507C2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D435F3" wp14:editId="7E266C3D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T/IC/2017/10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7/10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507C24" w:rsidTr="00507C24">
      <w:tc>
        <w:tcPr>
          <w:tcW w:w="3758" w:type="dxa"/>
        </w:tcPr>
        <w:p w:rsidR="00507C24" w:rsidRDefault="00507C24" w:rsidP="00507C2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E17CD">
            <w:rPr>
              <w:b w:val="0"/>
              <w:sz w:val="20"/>
            </w:rPr>
            <w:t>17-01761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080217    </w:t>
          </w:r>
          <w:r w:rsidR="00E13E17">
            <w:rPr>
              <w:b w:val="0"/>
              <w:sz w:val="20"/>
            </w:rPr>
            <w:t>10</w:t>
          </w:r>
          <w:r>
            <w:rPr>
              <w:b w:val="0"/>
              <w:sz w:val="20"/>
            </w:rPr>
            <w:t>0217</w:t>
          </w:r>
        </w:p>
        <w:p w:rsidR="00507C24" w:rsidRPr="00507C24" w:rsidRDefault="00507C24" w:rsidP="00507C24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DE17CD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*1701761*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507C24" w:rsidRDefault="00507C24" w:rsidP="00507C2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3134C82" wp14:editId="366AE3BB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7C24" w:rsidRPr="00507C24" w:rsidRDefault="00507C24" w:rsidP="00507C24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24" w:rsidRPr="00C43D46" w:rsidRDefault="00C43D46" w:rsidP="00C43D46">
      <w:pPr>
        <w:pStyle w:val="Footer"/>
        <w:spacing w:after="80"/>
        <w:ind w:left="792"/>
        <w:rPr>
          <w:sz w:val="16"/>
        </w:rPr>
      </w:pPr>
      <w:r w:rsidRPr="00C43D46">
        <w:rPr>
          <w:sz w:val="16"/>
        </w:rPr>
        <w:t>__________________</w:t>
      </w:r>
    </w:p>
  </w:footnote>
  <w:footnote w:type="continuationSeparator" w:id="0">
    <w:p w:rsidR="00507C24" w:rsidRPr="00C43D46" w:rsidRDefault="00C43D46" w:rsidP="00C43D46">
      <w:pPr>
        <w:pStyle w:val="Footer"/>
        <w:spacing w:after="80"/>
        <w:ind w:left="792"/>
        <w:rPr>
          <w:sz w:val="16"/>
        </w:rPr>
      </w:pPr>
      <w:r w:rsidRPr="00C43D46">
        <w:rPr>
          <w:sz w:val="16"/>
        </w:rPr>
        <w:t>__________________</w:t>
      </w:r>
    </w:p>
  </w:footnote>
  <w:footnote w:id="1">
    <w:p w:rsidR="00B14337" w:rsidRDefault="00B14337" w:rsidP="00C43D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Concerne les lieux d</w:t>
      </w:r>
      <w:r w:rsidR="00DB38F2">
        <w:t>’</w:t>
      </w:r>
      <w:r>
        <w:t>affectation où des membres du Secrétariat de l</w:t>
      </w:r>
      <w:r w:rsidR="00DB38F2">
        <w:t>’</w:t>
      </w:r>
      <w:r>
        <w:t xml:space="preserve">ONU sont en poste. </w:t>
      </w:r>
      <w:r>
        <w:br/>
        <w:t>Les institutions spécialisées, fonds et programmes publient leurs propres listes.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07C24" w:rsidTr="00507C2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07C24" w:rsidRPr="00507C24" w:rsidRDefault="00345C91" w:rsidP="00507C24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57830532" o:spid="_x0000_s819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  <w:r w:rsidR="00507C24">
            <w:rPr>
              <w:b/>
              <w:color w:val="000000"/>
            </w:rPr>
            <w:fldChar w:fldCharType="begin"/>
          </w:r>
          <w:r w:rsidR="00507C24">
            <w:rPr>
              <w:b/>
              <w:color w:val="000000"/>
            </w:rPr>
            <w:instrText xml:space="preserve"> DOCVARIABLE "sss1" \* MERGEFORMAT </w:instrText>
          </w:r>
          <w:r w:rsidR="00507C24">
            <w:rPr>
              <w:b/>
              <w:color w:val="000000"/>
            </w:rPr>
            <w:fldChar w:fldCharType="separate"/>
          </w:r>
          <w:r w:rsidR="00DE17CD">
            <w:rPr>
              <w:b/>
              <w:color w:val="000000"/>
            </w:rPr>
            <w:t>ST/IC/2017/10</w:t>
          </w:r>
          <w:r w:rsidR="00507C24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507C24" w:rsidRDefault="00507C24" w:rsidP="00507C24">
          <w:pPr>
            <w:pStyle w:val="Header"/>
          </w:pPr>
        </w:p>
      </w:tc>
    </w:tr>
  </w:tbl>
  <w:p w:rsidR="00507C24" w:rsidRPr="00507C24" w:rsidRDefault="00507C24" w:rsidP="00507C2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07C24" w:rsidTr="00507C2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07C24" w:rsidRDefault="00345C91" w:rsidP="00507C24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57830533" o:spid="_x0000_s819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507C24" w:rsidRPr="00507C24" w:rsidRDefault="00507C24" w:rsidP="00507C24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E17CD">
            <w:rPr>
              <w:b/>
              <w:color w:val="000000"/>
            </w:rPr>
            <w:t>ST/IC/2017/10</w:t>
          </w:r>
          <w:r>
            <w:rPr>
              <w:b/>
              <w:color w:val="000000"/>
            </w:rPr>
            <w:fldChar w:fldCharType="end"/>
          </w:r>
        </w:p>
      </w:tc>
    </w:tr>
  </w:tbl>
  <w:p w:rsidR="00507C24" w:rsidRPr="00507C24" w:rsidRDefault="00507C24" w:rsidP="00507C2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507C24" w:rsidTr="00507C24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07C24" w:rsidRDefault="00345C91" w:rsidP="00507C24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57830531" o:spid="_x0000_s819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07C24" w:rsidRPr="00507C24" w:rsidRDefault="00507C24" w:rsidP="00507C24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07C24" w:rsidRDefault="00507C24" w:rsidP="00507C24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07C24" w:rsidRPr="00507C24" w:rsidRDefault="00507C24" w:rsidP="00507C2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/IC/2017/10</w:t>
          </w:r>
        </w:p>
      </w:tc>
    </w:tr>
    <w:tr w:rsidR="00507C24" w:rsidRPr="00507C24" w:rsidTr="00507C2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7C24" w:rsidRPr="00507C24" w:rsidRDefault="00507C24" w:rsidP="00507C24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4CD9F3B" wp14:editId="4F6272A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7C24" w:rsidRPr="00507C24" w:rsidRDefault="00507C24" w:rsidP="00507C24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7C24" w:rsidRPr="00507C24" w:rsidRDefault="00507C24" w:rsidP="00507C24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75D2" w:rsidRDefault="00E275D2" w:rsidP="00507C24">
          <w:pPr>
            <w:pStyle w:val="Publication"/>
            <w:rPr>
              <w:color w:val="000000"/>
            </w:rPr>
          </w:pPr>
        </w:p>
        <w:p w:rsidR="00507C24" w:rsidRDefault="00507C24" w:rsidP="00507C24">
          <w:pPr>
            <w:pStyle w:val="Publication"/>
            <w:rPr>
              <w:color w:val="000000"/>
            </w:rPr>
          </w:pPr>
          <w:r>
            <w:rPr>
              <w:color w:val="000000"/>
            </w:rPr>
            <w:t>1</w:t>
          </w:r>
          <w:r w:rsidR="00C43D46" w:rsidRPr="00C43D46">
            <w:rPr>
              <w:color w:val="000000"/>
              <w:vertAlign w:val="superscript"/>
            </w:rPr>
            <w:t>er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janvier</w:t>
          </w:r>
          <w:proofErr w:type="spellEnd"/>
          <w:r>
            <w:rPr>
              <w:color w:val="000000"/>
            </w:rPr>
            <w:t xml:space="preserve"> 2017</w:t>
          </w:r>
        </w:p>
        <w:p w:rsidR="00507C24" w:rsidRPr="00507C24" w:rsidRDefault="00507C24" w:rsidP="00507C24">
          <w:pPr>
            <w:rPr>
              <w:lang w:val="en-US"/>
            </w:rPr>
          </w:pPr>
        </w:p>
      </w:tc>
    </w:tr>
  </w:tbl>
  <w:p w:rsidR="00507C24" w:rsidRPr="00507C24" w:rsidRDefault="00507C24" w:rsidP="00507C24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236D3"/>
    <w:multiLevelType w:val="hybridMultilevel"/>
    <w:tmpl w:val="584CF848"/>
    <w:lvl w:ilvl="0" w:tplc="D1985F3E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65DD0E1C"/>
    <w:multiLevelType w:val="singleLevel"/>
    <w:tmpl w:val="F86C00E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rcode" w:val="*1701761*"/>
    <w:docVar w:name="CreationDt" w:val="08/02/2017 5:02: PM"/>
    <w:docVar w:name="DocCategory" w:val="Doc"/>
    <w:docVar w:name="DocType" w:val="Final"/>
    <w:docVar w:name="DutyStation" w:val="New York"/>
    <w:docVar w:name="FooterJN" w:val="17-01761"/>
    <w:docVar w:name="jobn" w:val="17-01761 (F)"/>
    <w:docVar w:name="jobnDT" w:val="17-01761 (F)   080217"/>
    <w:docVar w:name="jobnDTDT" w:val="17-01761 (F)   080217   080217"/>
    <w:docVar w:name="JobNo" w:val="1701761F"/>
    <w:docVar w:name="JobNo2" w:val="1703204F"/>
    <w:docVar w:name="LocalDrive" w:val="0"/>
    <w:docVar w:name="OandT" w:val="JMS"/>
    <w:docVar w:name="sss1" w:val="ST/IC/2017/10"/>
    <w:docVar w:name="sss2" w:val="-"/>
    <w:docVar w:name="Symbol1" w:val="ST/IC/2017/10"/>
    <w:docVar w:name="Symbol2" w:val="-"/>
  </w:docVars>
  <w:rsids>
    <w:rsidRoot w:val="00126C9F"/>
    <w:rsid w:val="00126C9F"/>
    <w:rsid w:val="00180643"/>
    <w:rsid w:val="0023297C"/>
    <w:rsid w:val="00345C91"/>
    <w:rsid w:val="004441C0"/>
    <w:rsid w:val="004C1A25"/>
    <w:rsid w:val="004E052E"/>
    <w:rsid w:val="00507C24"/>
    <w:rsid w:val="00543ECB"/>
    <w:rsid w:val="00623C2E"/>
    <w:rsid w:val="00722515"/>
    <w:rsid w:val="00771C9E"/>
    <w:rsid w:val="00796157"/>
    <w:rsid w:val="00820230"/>
    <w:rsid w:val="00993CB7"/>
    <w:rsid w:val="00A43EC1"/>
    <w:rsid w:val="00A83F6E"/>
    <w:rsid w:val="00A8734F"/>
    <w:rsid w:val="00AD5F2F"/>
    <w:rsid w:val="00B14337"/>
    <w:rsid w:val="00C43D46"/>
    <w:rsid w:val="00CB06FB"/>
    <w:rsid w:val="00D1600B"/>
    <w:rsid w:val="00DB38F2"/>
    <w:rsid w:val="00DE17CD"/>
    <w:rsid w:val="00E13E17"/>
    <w:rsid w:val="00E275D2"/>
    <w:rsid w:val="00E343A6"/>
    <w:rsid w:val="00E7105F"/>
    <w:rsid w:val="00ED33A3"/>
    <w:rsid w:val="00EF2DFA"/>
    <w:rsid w:val="00F471C3"/>
    <w:rsid w:val="00F73093"/>
    <w:rsid w:val="00FA3D05"/>
    <w:rsid w:val="00FA5F7E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FB24921E-284B-41FC-AF14-455132F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C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C3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C3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1C3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71C3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471C3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471C3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471C3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1C3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1C3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F471C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F471C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F471C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F471C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F471C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F471C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F471C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F471C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F471C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F471C3"/>
    <w:pPr>
      <w:ind w:left="1267" w:right="1267"/>
    </w:pPr>
  </w:style>
  <w:style w:type="paragraph" w:customStyle="1" w:styleId="SingleTxt">
    <w:name w:val="__Single Txt"/>
    <w:basedOn w:val="Normal"/>
    <w:qFormat/>
    <w:rsid w:val="00F471C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F471C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F471C3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F471C3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1C3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F471C3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F471C3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F471C3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F471C3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F471C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71C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471C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F471C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F471C3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F471C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F471C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F471C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F471C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F471C3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F471C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F471C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F471C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F471C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F471C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F471C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F471C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F471C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F471C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F471C3"/>
    <w:rPr>
      <w:sz w:val="14"/>
    </w:rPr>
  </w:style>
  <w:style w:type="paragraph" w:styleId="ListParagraph">
    <w:name w:val="List Paragraph"/>
    <w:basedOn w:val="Normal"/>
    <w:uiPriority w:val="34"/>
    <w:rsid w:val="00F471C3"/>
    <w:pPr>
      <w:ind w:left="720"/>
      <w:contextualSpacing/>
    </w:pPr>
  </w:style>
  <w:style w:type="paragraph" w:styleId="NoSpacing">
    <w:name w:val="No Spacing"/>
    <w:uiPriority w:val="1"/>
    <w:rsid w:val="00F471C3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F471C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F471C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F471C3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F471C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F471C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F471C3"/>
    <w:rPr>
      <w:b/>
      <w:bCs/>
    </w:rPr>
  </w:style>
  <w:style w:type="paragraph" w:customStyle="1" w:styleId="Style1">
    <w:name w:val="Style1"/>
    <w:basedOn w:val="Normal"/>
    <w:qFormat/>
    <w:rsid w:val="00F471C3"/>
  </w:style>
  <w:style w:type="paragraph" w:customStyle="1" w:styleId="Style2">
    <w:name w:val="Style2"/>
    <w:basedOn w:val="Normal"/>
    <w:autoRedefine/>
    <w:qFormat/>
    <w:rsid w:val="00F471C3"/>
  </w:style>
  <w:style w:type="paragraph" w:customStyle="1" w:styleId="TitleHCH">
    <w:name w:val="Title_H_CH"/>
    <w:basedOn w:val="HCH"/>
    <w:next w:val="SingleTxt"/>
    <w:qFormat/>
    <w:rsid w:val="00F471C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F471C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F471C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07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24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2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23297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2023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undocs.org/fr/ST/AI/2011/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C. Guiu</cp:lastModifiedBy>
  <cp:revision>3</cp:revision>
  <cp:lastPrinted>2017-02-08T22:57:00Z</cp:lastPrinted>
  <dcterms:created xsi:type="dcterms:W3CDTF">2017-02-14T15:55:00Z</dcterms:created>
  <dcterms:modified xsi:type="dcterms:W3CDTF">2019-07-17T16:46:00Z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1701761F</vt:lpwstr>
  </property>
  <property fmtid="{D5CDD505-2E9C-101B-9397-08002B2CF9AE}" pid="3" name="ODSRefJobNo">
    <vt:lpwstr>1703204F</vt:lpwstr>
  </property>
  <property fmtid="{D5CDD505-2E9C-101B-9397-08002B2CF9AE}" pid="4" name="Symbol1">
    <vt:lpwstr>ST/IC/2017/10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 janvier 2017</vt:lpwstr>
  </property>
  <property fmtid="{D5CDD505-2E9C-101B-9397-08002B2CF9AE}" pid="9" name="Original">
    <vt:lpwstr>anglais</vt:lpwstr>
  </property>
  <property fmtid="{D5CDD505-2E9C-101B-9397-08002B2CF9AE}" pid="10" name="Release Date">
    <vt:lpwstr>080217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JMS</vt:lpwstr>
  </property>
</Properties>
</file>